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08"/>
        <w:pBdr/>
        <w:spacing w:after="120" w:before="960" w:line="240" w:lineRule="auto"/>
        <w:ind w:right="0"/>
        <w:contextualSpacing w:val="tru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INSTRUCTIONS FOR PREPARING MANUSCRIPTS</w:t>
      </w:r>
      <w:r>
        <w:rPr>
          <w:rFonts w:ascii="Times New Roman" w:hAnsi="Times New Roman"/>
        </w:rPr>
        <w:t xml:space="preserve"> FOR SUBMISSION TO ISEC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282"/>
        <w:pBdr/>
        <w:spacing w:before="120" w:line="240" w:lineRule="auto"/>
        <w:ind w:right="0"/>
        <w:rPr>
          <w:sz w:val="20"/>
          <w:szCs w:val="20"/>
          <w:vertAlign w:val="superscript"/>
        </w:rPr>
      </w:pPr>
      <w:r>
        <w:rPr>
          <w:sz w:val="20"/>
          <w:szCs w:val="20"/>
        </w:rPr>
        <w:t xml:space="preserve">FIRST_NAME_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 LAST_NAME_</w:t>
      </w:r>
      <w:r>
        <w:rPr>
          <w:sz w:val="20"/>
          <w:szCs w:val="20"/>
        </w:rPr>
        <w:t xml:space="preserve">A</w:t>
      </w:r>
      <w:r>
        <w:rPr>
          <w:sz w:val="20"/>
          <w:szCs w:val="20"/>
          <w:vertAlign w:val="superscript"/>
        </w:rPr>
        <w:t xml:space="preserve">1</w:t>
      </w:r>
      <w:r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FIRST_NAME_</w:t>
      </w:r>
      <w:r>
        <w:rPr>
          <w:sz w:val="20"/>
          <w:szCs w:val="20"/>
        </w:rPr>
        <w:t xml:space="preserve">B</w:t>
      </w:r>
      <w:r>
        <w:rPr>
          <w:sz w:val="20"/>
          <w:szCs w:val="20"/>
        </w:rPr>
        <w:t xml:space="preserve"> LAST_NAME_</w:t>
      </w:r>
      <w:r>
        <w:rPr>
          <w:sz w:val="20"/>
          <w:szCs w:val="20"/>
        </w:rPr>
        <w:t xml:space="preserve">B</w:t>
      </w:r>
      <w:r>
        <w:rPr>
          <w:sz w:val="20"/>
          <w:szCs w:val="20"/>
          <w:vertAlign w:val="superscript"/>
        </w:rPr>
        <w:t xml:space="preserve">2</w:t>
      </w:r>
      <w:r>
        <w:rPr>
          <w:sz w:val="20"/>
          <w:szCs w:val="20"/>
          <w:vertAlign w:val="superscript"/>
        </w:rPr>
      </w:r>
      <w:r>
        <w:rPr>
          <w:sz w:val="20"/>
          <w:szCs w:val="20"/>
          <w:vertAlign w:val="superscript"/>
        </w:rPr>
      </w:r>
    </w:p>
    <w:p>
      <w:pPr>
        <w:pStyle w:val="1282"/>
        <w:pBdr/>
        <w:spacing w:after="0" w:before="0" w:line="240" w:lineRule="auto"/>
        <w:ind w:right="0" w:left="173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1</w:t>
      </w:r>
      <w:r>
        <w:rPr>
          <w:i/>
          <w:sz w:val="20"/>
          <w:szCs w:val="20"/>
        </w:rPr>
        <w:t xml:space="preserve">Dep</w:t>
      </w:r>
      <w:r>
        <w:rPr>
          <w:i/>
          <w:sz w:val="20"/>
          <w:szCs w:val="20"/>
        </w:rPr>
        <w:t xml:space="preserve">t, University/Organization, City, </w:t>
      </w:r>
      <w:r>
        <w:rPr>
          <w:i/>
          <w:sz w:val="20"/>
          <w:szCs w:val="20"/>
        </w:rPr>
        <w:t xml:space="preserve">Country </w:t>
        <w:br w:type="textWrapping" w:clear="all"/>
      </w:r>
      <w:r>
        <w:rPr>
          <w:i/>
          <w:sz w:val="20"/>
          <w:szCs w:val="20"/>
          <w:vertAlign w:val="superscript"/>
        </w:rPr>
        <w:t xml:space="preserve">2</w:t>
      </w:r>
      <w:r>
        <w:rPr>
          <w:i/>
          <w:sz w:val="20"/>
          <w:szCs w:val="20"/>
        </w:rPr>
        <w:t xml:space="preserve">Group, </w:t>
      </w:r>
      <w:r>
        <w:rPr>
          <w:i/>
          <w:sz w:val="20"/>
          <w:szCs w:val="20"/>
        </w:rPr>
        <w:t xml:space="preserve">Company</w:t>
      </w:r>
      <w:r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City, </w:t>
      </w:r>
      <w:r>
        <w:rPr>
          <w:i/>
          <w:sz w:val="20"/>
          <w:szCs w:val="20"/>
        </w:rPr>
        <w:t xml:space="preserve">Country</w:t>
        <w:br w:type="textWrapping" w:clear="all"/>
      </w:r>
      <w:r>
        <w:rPr>
          <w:i/>
          <w:sz w:val="20"/>
          <w:szCs w:val="20"/>
          <w:vertAlign w:val="superscript"/>
        </w:rPr>
      </w:r>
      <w:r>
        <w:rPr>
          <w:i/>
          <w:sz w:val="20"/>
          <w:szCs w:val="20"/>
          <w:vertAlign w:val="superscript"/>
        </w:rPr>
      </w:r>
    </w:p>
    <w:p>
      <w:pPr>
        <w:pStyle w:val="1283"/>
        <w:pBdr/>
        <w:spacing w:before="120" w:line="220" w:lineRule="exact"/>
        <w:ind/>
        <w:rPr>
          <w:sz w:val="20"/>
          <w:szCs w:val="18"/>
        </w:rPr>
      </w:pPr>
      <w:r>
        <w:rPr>
          <w:sz w:val="20"/>
          <w:szCs w:val="18"/>
        </w:rPr>
        <w:t xml:space="preserve">The abstract </w:t>
      </w:r>
      <w:r>
        <w:rPr>
          <w:sz w:val="20"/>
          <w:szCs w:val="18"/>
        </w:rPr>
        <w:t xml:space="preserve">must</w:t>
      </w:r>
      <w:r>
        <w:rPr>
          <w:sz w:val="20"/>
          <w:szCs w:val="18"/>
        </w:rPr>
        <w:t xml:space="preserve"> summarize the context, content and conclusions of the paper in between </w:t>
      </w:r>
      <w:r>
        <w:rPr>
          <w:color w:val="0033cc"/>
          <w:sz w:val="20"/>
          <w:szCs w:val="18"/>
        </w:rPr>
        <w:t xml:space="preserve">1</w:t>
      </w:r>
      <w:r>
        <w:rPr>
          <w:color w:val="0033cc"/>
          <w:sz w:val="20"/>
          <w:szCs w:val="18"/>
        </w:rPr>
        <w:t xml:space="preserve">50</w:t>
      </w:r>
      <w:r>
        <w:rPr>
          <w:color w:val="0033cc"/>
          <w:sz w:val="20"/>
          <w:szCs w:val="18"/>
        </w:rPr>
        <w:t xml:space="preserve"> and 2</w:t>
      </w:r>
      <w:r>
        <w:rPr>
          <w:color w:val="0033cc"/>
          <w:sz w:val="20"/>
          <w:szCs w:val="18"/>
        </w:rPr>
        <w:t xml:space="preserve">50</w:t>
      </w:r>
      <w:r>
        <w:rPr>
          <w:color w:val="0033cc"/>
          <w:sz w:val="20"/>
          <w:szCs w:val="18"/>
        </w:rPr>
        <w:t xml:space="preserve"> words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 It should tell the reader what the research was about, how it was undertaken, and what was discovered.  </w:t>
      </w:r>
      <w:r>
        <w:rPr>
          <w:sz w:val="20"/>
          <w:szCs w:val="18"/>
        </w:rPr>
        <w:t xml:space="preserve">The Abstract should give a pertinent overview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of the work.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Then we suggest </w:t>
      </w:r>
      <w:r>
        <w:rPr>
          <w:sz w:val="20"/>
          <w:szCs w:val="18"/>
        </w:rPr>
        <w:t xml:space="preserve">concluding</w:t>
      </w:r>
      <w:r>
        <w:rPr>
          <w:sz w:val="20"/>
          <w:szCs w:val="18"/>
        </w:rPr>
        <w:t xml:space="preserve"> with one sentenc</w:t>
      </w:r>
      <w:r>
        <w:rPr>
          <w:sz w:val="20"/>
          <w:szCs w:val="18"/>
        </w:rPr>
        <w:t xml:space="preserve">e on the most important consequence of the work.  </w:t>
      </w:r>
      <w:r>
        <w:rPr>
          <w:sz w:val="20"/>
          <w:szCs w:val="18"/>
        </w:rPr>
        <w:t xml:space="preserve">The following structure is recommended</w:t>
      </w:r>
      <w:r>
        <w:rPr>
          <w:sz w:val="20"/>
          <w:szCs w:val="18"/>
        </w:rPr>
        <w:t xml:space="preserve">: p</w:t>
      </w:r>
      <w:r>
        <w:rPr>
          <w:sz w:val="20"/>
          <w:szCs w:val="18"/>
        </w:rPr>
        <w:t xml:space="preserve">lace the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question addressed in a broad context and highlight the purpose of the study; briefly describe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the main methods or treatments applied;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summarize the article’s main findings; </w:t>
      </w:r>
      <w:r>
        <w:rPr>
          <w:sz w:val="20"/>
          <w:szCs w:val="18"/>
        </w:rPr>
        <w:t xml:space="preserve">and</w:t>
      </w:r>
      <w:r>
        <w:rPr>
          <w:sz w:val="20"/>
          <w:szCs w:val="18"/>
        </w:rPr>
        <w:t xml:space="preserve"> indicate the main conclusions or interpretations.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R</w:t>
      </w:r>
      <w:r>
        <w:rPr>
          <w:sz w:val="20"/>
          <w:szCs w:val="18"/>
        </w:rPr>
        <w:t xml:space="preserve">eferences or displayed equations</w:t>
      </w:r>
      <w:r>
        <w:rPr>
          <w:sz w:val="20"/>
          <w:szCs w:val="18"/>
        </w:rPr>
        <w:t xml:space="preserve"> are not allowed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 Typeset the abstract in </w:t>
      </w:r>
      <w:r>
        <w:rPr>
          <w:color w:val="0000ff"/>
          <w:sz w:val="20"/>
          <w:szCs w:val="18"/>
        </w:rPr>
        <w:t xml:space="preserve">10pt Times New Roman with exact line spacing of 11pt</w:t>
      </w:r>
      <w:r>
        <w:rPr>
          <w:sz w:val="20"/>
          <w:szCs w:val="18"/>
        </w:rPr>
        <w:t xml:space="preserve">, </w:t>
      </w:r>
      <w:r>
        <w:rPr>
          <w:sz w:val="20"/>
          <w:szCs w:val="18"/>
        </w:rPr>
        <w:t xml:space="preserve">and margins of </w:t>
      </w:r>
      <w:r>
        <w:rPr>
          <w:sz w:val="20"/>
          <w:szCs w:val="18"/>
        </w:rPr>
        <w:t xml:space="preserve">39.62mm</w:t>
      </w:r>
      <w:r>
        <w:rPr>
          <w:sz w:val="20"/>
          <w:szCs w:val="18"/>
        </w:rPr>
        <w:t xml:space="preserve"> (1.</w:t>
      </w:r>
      <w:r>
        <w:rPr>
          <w:sz w:val="20"/>
          <w:szCs w:val="18"/>
        </w:rPr>
        <w:t xml:space="preserve">56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in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  <w:t xml:space="preserve">)</w:t>
      </w:r>
      <w:r>
        <w:rPr>
          <w:sz w:val="20"/>
          <w:szCs w:val="18"/>
        </w:rPr>
        <w:t xml:space="preserve"> on the left and righ</w:t>
      </w:r>
      <w:r>
        <w:rPr>
          <w:sz w:val="20"/>
          <w:szCs w:val="18"/>
        </w:rPr>
        <w:t xml:space="preserve">t margins. 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Author</w:t>
      </w:r>
      <w:r>
        <w:rPr>
          <w:sz w:val="20"/>
          <w:szCs w:val="18"/>
        </w:rPr>
        <w:t xml:space="preserve">s</w:t>
      </w:r>
      <w:r>
        <w:rPr>
          <w:sz w:val="20"/>
          <w:szCs w:val="18"/>
        </w:rPr>
        <w:t xml:space="preserve"> should s</w:t>
      </w:r>
      <w:r>
        <w:rPr>
          <w:sz w:val="20"/>
          <w:szCs w:val="18"/>
        </w:rPr>
        <w:t xml:space="preserve">uggest</w:t>
      </w:r>
      <w:r>
        <w:rPr>
          <w:sz w:val="20"/>
          <w:szCs w:val="18"/>
        </w:rPr>
        <w:t xml:space="preserve"> approximately </w:t>
      </w:r>
      <w:r>
        <w:rPr>
          <w:color w:val="c00000"/>
          <w:sz w:val="20"/>
          <w:szCs w:val="18"/>
        </w:rPr>
        <w:t xml:space="preserve">4</w:t>
      </w:r>
      <w:r>
        <w:rPr>
          <w:color w:val="c00000"/>
          <w:sz w:val="20"/>
          <w:szCs w:val="18"/>
        </w:rPr>
        <w:t xml:space="preserve">–</w:t>
      </w:r>
      <w:r>
        <w:rPr>
          <w:color w:val="c00000"/>
          <w:sz w:val="20"/>
          <w:szCs w:val="18"/>
        </w:rPr>
        <w:t xml:space="preserve">8</w:t>
      </w:r>
      <w:r>
        <w:rPr>
          <w:sz w:val="20"/>
          <w:szCs w:val="18"/>
        </w:rPr>
        <w:t xml:space="preserve"> keywords separated by commas</w:t>
      </w:r>
      <w:r>
        <w:rPr>
          <w:sz w:val="20"/>
          <w:szCs w:val="18"/>
        </w:rPr>
        <w:t xml:space="preserve">,</w:t>
      </w:r>
      <w:r>
        <w:rPr>
          <w:sz w:val="20"/>
          <w:szCs w:val="18"/>
        </w:rPr>
        <w:t xml:space="preserve"> as below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84"/>
        <w:pBdr/>
        <w:spacing w:line="220" w:lineRule="exact"/>
        <w:ind/>
        <w:rPr>
          <w:color w:val="0000ff"/>
          <w:sz w:val="20"/>
          <w:szCs w:val="18"/>
        </w:rPr>
      </w:pPr>
      <w:r>
        <w:rPr>
          <w:i/>
          <w:sz w:val="20"/>
          <w:szCs w:val="18"/>
        </w:rPr>
        <w:t xml:space="preserve">Keywords</w:t>
      </w:r>
      <w:r>
        <w:rPr>
          <w:sz w:val="20"/>
          <w:szCs w:val="18"/>
        </w:rPr>
        <w:t xml:space="preserve">: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 Keyword1, Keyword2, Keyword3, Keyword4</w:t>
      </w:r>
      <w:r>
        <w:rPr>
          <w:sz w:val="20"/>
          <w:szCs w:val="18"/>
        </w:rPr>
        <w:t xml:space="preserve">, Keyword5, Keyword6</w:t>
      </w:r>
      <w:r>
        <w:rPr>
          <w:sz w:val="20"/>
          <w:szCs w:val="18"/>
        </w:rPr>
        <w:t xml:space="preserve">. </w:t>
      </w:r>
      <w:r>
        <w:rPr>
          <w:sz w:val="20"/>
          <w:szCs w:val="18"/>
        </w:rPr>
        <w:br w:type="textWrapping" w:clear="all"/>
      </w:r>
      <w:r>
        <w:rPr>
          <w:color w:val="0000ff"/>
          <w:sz w:val="20"/>
          <w:szCs w:val="18"/>
        </w:rPr>
        <w:t xml:space="preserve">(No word that is in the title should be repeated in the keywords).</w:t>
      </w:r>
      <w:r>
        <w:rPr>
          <w:color w:val="0000ff"/>
          <w:sz w:val="20"/>
          <w:szCs w:val="18"/>
        </w:rPr>
      </w:r>
      <w:r>
        <w:rPr>
          <w:color w:val="0000ff"/>
          <w:sz w:val="20"/>
          <w:szCs w:val="18"/>
        </w:rPr>
      </w:r>
    </w:p>
    <w:p>
      <w:pPr>
        <w:pStyle w:val="1271"/>
        <w:pBdr/>
        <w:spacing/>
        <w:ind w:right="188"/>
        <w:rPr/>
        <w:sectPr>
          <w:headerReference w:type="default" r:id="rId9"/>
          <w:headerReference w:type="even" r:id="rId10"/>
          <w:headerReference w:type="first" r:id="rId11"/>
          <w:footerReference w:type="default" r:id="rId15"/>
          <w:footerReference w:type="even" r:id="rId16"/>
          <w:footerReference w:type="first" r:id="rId17"/>
          <w:footnotePr/>
          <w:endnotePr>
            <w:numFmt w:val="decimal"/>
          </w:endnotePr>
          <w:type w:val="continuous"/>
          <w:pgSz w:h="15840" w:orient="portrait" w:w="12240"/>
          <w:pgMar w:top="1944" w:right="2246" w:bottom="1944" w:left="2246" w:header="720" w:footer="720" w:gutter="0"/>
          <w:cols w:num="1" w:sep="0" w:space="720" w:equalWidth="1"/>
          <w:titlePg/>
        </w:sectPr>
      </w:pPr>
      <w:r/>
      <w:r/>
    </w:p>
    <w:p>
      <w:pPr>
        <w:pStyle w:val="1272"/>
        <w:pBdr/>
        <w:tabs>
          <w:tab w:val="num" w:leader="none" w:pos="360"/>
        </w:tabs>
        <w:spacing w:before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72"/>
        <w:numPr>
          <w:ilvl w:val="0"/>
          <w:numId w:val="17"/>
        </w:numPr>
        <w:pBdr/>
        <w:tabs>
          <w:tab w:val="num" w:leader="none" w:pos="360"/>
          <w:tab w:val="clear" w:leader="none" w:pos="720"/>
        </w:tabs>
        <w:spacing w:before="0" w:line="240" w:lineRule="auto"/>
        <w:ind w:right="0" w:left="360"/>
        <w:contextualSpacing w:val="true"/>
        <w:rPr>
          <w:sz w:val="22"/>
          <w:szCs w:val="22"/>
        </w:rPr>
      </w:pPr>
      <w:r>
        <w:rPr>
          <w:sz w:val="22"/>
          <w:szCs w:val="22"/>
        </w:rPr>
        <w:t xml:space="preserve">GENERAL APPEARANCE</w:t>
      </w:r>
      <w:r>
        <w:rPr>
          <w:sz w:val="22"/>
          <w:szCs w:val="22"/>
        </w:rPr>
        <w:t xml:space="preserve"> and CTA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Contributions to any ISEC conference or publication</w:t>
      </w:r>
      <w:r>
        <w:rPr>
          <w:i/>
          <w:sz w:val="22"/>
          <w:szCs w:val="20"/>
        </w:rPr>
        <w:t xml:space="preserve"> </w:t>
      </w:r>
      <w:r>
        <w:rPr>
          <w:sz w:val="22"/>
          <w:szCs w:val="20"/>
        </w:rPr>
        <w:t xml:space="preserve">are to be in American English. 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Authors are required to submit their manuscripts both in MS-WORD and PDF </w:t>
      </w:r>
      <w:r>
        <w:rPr>
          <w:sz w:val="22"/>
          <w:szCs w:val="20"/>
        </w:rPr>
        <w:t xml:space="preserve">formats and</w:t>
      </w:r>
      <w:r>
        <w:rPr>
          <w:sz w:val="22"/>
          <w:szCs w:val="20"/>
        </w:rPr>
        <w:t xml:space="preserve"> should check their formatting before submission. 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Authors must use only MS-WORD (.</w:t>
      </w:r>
      <w:r>
        <w:rPr>
          <w:sz w:val="22"/>
          <w:szCs w:val="20"/>
        </w:rPr>
        <w:t xml:space="preserve">doc or .docx).</w:t>
      </w:r>
      <w:r>
        <w:rPr>
          <w:sz w:val="22"/>
          <w:szCs w:val="20"/>
        </w:rPr>
        <w:t xml:space="preserve">  </w:t>
      </w:r>
      <w:r>
        <w:rPr>
          <w:sz w:val="22"/>
          <w:szCs w:val="20"/>
        </w:rPr>
        <w:t xml:space="preserve">The CTA (Copyright Transfer Agreement) </w:t>
      </w:r>
      <w:r>
        <w:rPr>
          <w:sz w:val="22"/>
          <w:szCs w:val="20"/>
        </w:rPr>
        <w:t xml:space="preserve">is digitally signed enroute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to the submission of</w:t>
      </w:r>
      <w:r>
        <w:rPr>
          <w:sz w:val="22"/>
          <w:szCs w:val="20"/>
        </w:rPr>
        <w:t xml:space="preserve"> your manuscript.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 w:firstLine="360"/>
        <w:rPr>
          <w:sz w:val="22"/>
          <w:szCs w:val="20"/>
        </w:rPr>
      </w:pPr>
      <w:r>
        <w:rPr>
          <w:color w:val="0000ff"/>
          <w:sz w:val="22"/>
          <w:szCs w:val="20"/>
        </w:rPr>
        <w:t xml:space="preserve">Though a copy editor will review the paper,</w:t>
      </w:r>
      <w:r>
        <w:rPr>
          <w:color w:val="0000ff"/>
          <w:sz w:val="22"/>
          <w:szCs w:val="20"/>
        </w:rPr>
        <w:t xml:space="preserve"> all authors must submit camera-</w:t>
      </w:r>
      <w:r>
        <w:rPr>
          <w:color w:val="0000ff"/>
          <w:sz w:val="22"/>
          <w:szCs w:val="20"/>
        </w:rPr>
        <w:t xml:space="preserve">ready manuscripts.</w:t>
      </w:r>
      <w:r>
        <w:rPr>
          <w:color w:val="0000ff"/>
          <w:sz w:val="22"/>
          <w:szCs w:val="20"/>
        </w:rPr>
        <w:t xml:space="preserve">  Editors have the right to edit and modify the manuscript and title to suit the ISEC style and guidelines.</w:t>
      </w:r>
      <w:r>
        <w:rPr>
          <w:color w:val="0000ff"/>
          <w:sz w:val="22"/>
          <w:szCs w:val="20"/>
        </w:rPr>
        <w:t xml:space="preserve"> 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2"/>
        <w:pBdr/>
        <w:spacing w:after="0" w:before="0" w:line="240" w:lineRule="auto"/>
        <w:ind w:right="0"/>
        <w:contextualSpacing w:val="true"/>
        <w:rPr>
          <w:b w:val="0"/>
          <w:sz w:val="22"/>
          <w:szCs w:val="22"/>
        </w:rPr>
      </w:pPr>
      <w:r>
        <w:rPr>
          <w:b w:val="0"/>
          <w:sz w:val="22"/>
          <w:szCs w:val="22"/>
        </w:rPr>
      </w:r>
      <w:r>
        <w:rPr>
          <w:b w:val="0"/>
          <w:sz w:val="22"/>
          <w:szCs w:val="22"/>
        </w:rPr>
      </w:r>
      <w:r>
        <w:rPr>
          <w:b w:val="0"/>
          <w:sz w:val="22"/>
          <w:szCs w:val="22"/>
        </w:rPr>
      </w:r>
    </w:p>
    <w:p>
      <w:pPr>
        <w:pStyle w:val="1271"/>
        <w:numPr>
          <w:ilvl w:val="0"/>
          <w:numId w:val="17"/>
        </w:numPr>
        <w:pBdr/>
        <w:tabs>
          <w:tab w:val="left" w:leader="none" w:pos="360"/>
          <w:tab w:val="clear" w:leader="none" w:pos="720"/>
        </w:tabs>
        <w:spacing w:before="0" w:line="240" w:lineRule="auto"/>
        <w:ind w:right="0"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THE MAIN TEXT</w:t>
      </w:r>
      <w:r>
        <w:rPr>
          <w:b/>
          <w:bCs/>
          <w:sz w:val="22"/>
          <w:szCs w:val="22"/>
        </w:rPr>
        <w:t xml:space="preserve">, HEADERS,</w:t>
      </w:r>
      <w:r>
        <w:rPr>
          <w:b/>
          <w:bCs/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 xml:space="preserve">PAGE NUMBERING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272"/>
        <w:pBdr/>
        <w:spacing w:after="0" w:before="0" w:line="240" w:lineRule="auto"/>
        <w:ind w:right="0"/>
        <w:contextualSpacing w:val="true"/>
        <w:rPr>
          <w:b w:val="0"/>
          <w:sz w:val="22"/>
          <w:szCs w:val="20"/>
        </w:rPr>
      </w:pPr>
      <w:r>
        <w:rPr>
          <w:b w:val="0"/>
          <w:sz w:val="22"/>
          <w:szCs w:val="20"/>
        </w:rPr>
        <w:t xml:space="preserve">The text is to be typed in </w:t>
      </w:r>
      <w:r>
        <w:rPr>
          <w:b w:val="0"/>
          <w:color w:val="0000ff"/>
          <w:sz w:val="22"/>
          <w:szCs w:val="20"/>
        </w:rPr>
        <w:t xml:space="preserve">11pt Times New Roman, </w:t>
      </w:r>
      <w:r>
        <w:rPr>
          <w:b w:val="0"/>
          <w:color w:val="0000ff"/>
          <w:sz w:val="22"/>
          <w:szCs w:val="20"/>
          <w:u w:val="single"/>
        </w:rPr>
        <w:t xml:space="preserve">single-spaced</w:t>
      </w:r>
      <w:r>
        <w:rPr>
          <w:b w:val="0"/>
          <w:sz w:val="22"/>
          <w:szCs w:val="20"/>
        </w:rPr>
        <w:t xml:space="preserve">.</w:t>
      </w:r>
      <w:r>
        <w:rPr>
          <w:b w:val="0"/>
          <w:sz w:val="22"/>
          <w:szCs w:val="20"/>
        </w:rPr>
        <w:t xml:space="preserve"> </w:t>
      </w:r>
      <w:r>
        <w:rPr>
          <w:b w:val="0"/>
          <w:sz w:val="22"/>
          <w:szCs w:val="20"/>
        </w:rPr>
        <w:t xml:space="preserve"> The entire text is in a </w:t>
      </w:r>
      <w:r>
        <w:rPr>
          <w:b w:val="0"/>
          <w:color w:val="0000ff"/>
          <w:sz w:val="22"/>
          <w:szCs w:val="20"/>
        </w:rPr>
        <w:t xml:space="preserve">single column</w:t>
      </w:r>
      <w:r>
        <w:rPr>
          <w:b w:val="0"/>
          <w:sz w:val="22"/>
          <w:szCs w:val="20"/>
        </w:rPr>
        <w:t xml:space="preserve"> format.</w:t>
      </w:r>
      <w:r>
        <w:rPr>
          <w:b w:val="0"/>
          <w:sz w:val="22"/>
          <w:szCs w:val="20"/>
        </w:rPr>
        <w:t xml:space="preserve">  See headers and footers in this d</w:t>
      </w:r>
      <w:r>
        <w:rPr>
          <w:b w:val="0"/>
          <w:sz w:val="22"/>
          <w:szCs w:val="20"/>
        </w:rPr>
        <w:t xml:space="preserve">ocument for content and format</w:t>
      </w:r>
      <w:r>
        <w:rPr>
          <w:b w:val="0"/>
          <w:sz w:val="22"/>
          <w:szCs w:val="20"/>
        </w:rPr>
        <w:t xml:space="preserve">ting </w:t>
      </w:r>
      <w:r>
        <w:rPr>
          <w:b w:val="0"/>
          <w:sz w:val="22"/>
          <w:szCs w:val="20"/>
        </w:rPr>
        <w:t xml:space="preserve">(insert as is).  </w:t>
      </w:r>
      <w:r>
        <w:rPr>
          <w:b w:val="0"/>
          <w:sz w:val="22"/>
          <w:szCs w:val="22"/>
        </w:rPr>
        <w:t xml:space="preserve">A</w:t>
      </w:r>
      <w:r>
        <w:rPr>
          <w:b w:val="0"/>
          <w:sz w:val="22"/>
          <w:szCs w:val="22"/>
        </w:rPr>
        <w:t xml:space="preserve">dd page numbe</w:t>
      </w:r>
      <w:r>
        <w:rPr>
          <w:b w:val="0"/>
          <w:sz w:val="22"/>
          <w:szCs w:val="22"/>
        </w:rPr>
        <w:t xml:space="preserve">rs </w:t>
      </w:r>
      <w:r>
        <w:rPr>
          <w:b w:val="0"/>
          <w:sz w:val="22"/>
          <w:szCs w:val="22"/>
        </w:rPr>
        <w:t xml:space="preserve">in 10pt</w:t>
      </w:r>
      <w:r>
        <w:rPr>
          <w:b w:val="0"/>
          <w:sz w:val="22"/>
          <w:szCs w:val="22"/>
        </w:rPr>
        <w:t xml:space="preserve"> font</w:t>
      </w:r>
      <w:r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as per the following scheme, using your Ref ID on each page:</w:t>
      </w:r>
      <w:r>
        <w:rPr>
          <w:b w:val="0"/>
          <w:sz w:val="22"/>
          <w:szCs w:val="20"/>
        </w:rPr>
      </w:r>
      <w:r>
        <w:rPr>
          <w:b w:val="0"/>
          <w:sz w:val="22"/>
          <w:szCs w:val="20"/>
        </w:rPr>
      </w:r>
    </w:p>
    <w:p>
      <w:pPr>
        <w:pStyle w:val="1271"/>
        <w:pBdr/>
        <w:spacing w:after="0" w:before="0" w:line="240" w:lineRule="auto"/>
        <w:ind/>
        <w:rPr/>
      </w:pPr>
      <w:r/>
      <w:r/>
    </w:p>
    <w:p>
      <w:pPr>
        <w:pStyle w:val="1272"/>
        <w:pBdr/>
        <w:spacing w:after="0" w:before="0" w:line="240" w:lineRule="auto"/>
        <w:ind w:right="0"/>
        <w:contextualSpacing w:val="true"/>
        <w:jc w:val="center"/>
        <w:rPr>
          <w:b w:val="0"/>
          <w:szCs w:val="20"/>
        </w:rPr>
      </w:pPr>
      <w:r>
        <w:rPr>
          <w:b w:val="0"/>
          <w:szCs w:val="20"/>
        </w:rPr>
        <w:t xml:space="preserve">Ref ID-Page #</w:t>
      </w:r>
      <w:r>
        <w:rPr>
          <w:b w:val="0"/>
          <w:szCs w:val="20"/>
        </w:rPr>
      </w:r>
      <w:r>
        <w:rPr>
          <w:b w:val="0"/>
          <w:szCs w:val="20"/>
        </w:rPr>
      </w:r>
    </w:p>
    <w:p>
      <w:pPr>
        <w:pStyle w:val="1272"/>
        <w:pBdr/>
        <w:spacing w:after="0" w:before="0" w:line="240" w:lineRule="auto"/>
        <w:ind w:right="0"/>
        <w:contextualSpacing w:val="tru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</w:r>
      <w:r>
        <w:rPr>
          <w:b w:val="0"/>
          <w:sz w:val="22"/>
          <w:szCs w:val="22"/>
        </w:rPr>
      </w:r>
    </w:p>
    <w:p>
      <w:pPr>
        <w:pStyle w:val="1272"/>
        <w:pBdr/>
        <w:spacing w:after="0" w:before="0" w:line="240" w:lineRule="auto"/>
        <w:ind w:right="0" w:firstLine="360"/>
        <w:contextualSpacing w:val="true"/>
        <w:rPr>
          <w:b w:val="0"/>
          <w:sz w:val="22"/>
          <w:szCs w:val="20"/>
        </w:rPr>
      </w:pPr>
      <w:r>
        <w:rPr>
          <w:b w:val="0"/>
          <w:sz w:val="22"/>
          <w:szCs w:val="22"/>
        </w:rPr>
        <w:t xml:space="preserve">For instance, if your Ref ID is </w:t>
      </w:r>
      <w:r>
        <w:rPr>
          <w:b w:val="0"/>
          <w:sz w:val="22"/>
          <w:szCs w:val="22"/>
        </w:rPr>
        <w:t xml:space="preserve">AAA</w:t>
      </w:r>
      <w:r>
        <w:rPr>
          <w:b w:val="0"/>
          <w:sz w:val="22"/>
          <w:szCs w:val="22"/>
        </w:rPr>
        <w:t xml:space="preserve">-</w:t>
      </w:r>
      <w:r>
        <w:rPr>
          <w:b w:val="0"/>
          <w:sz w:val="22"/>
          <w:szCs w:val="22"/>
        </w:rPr>
        <w:t xml:space="preserve">25</w:t>
      </w:r>
      <w:r>
        <w:rPr>
          <w:b w:val="0"/>
          <w:sz w:val="22"/>
          <w:szCs w:val="22"/>
        </w:rPr>
        <w:t xml:space="preserve">, as in this guideline, your first page should be numbered </w:t>
      </w:r>
      <w:r>
        <w:rPr>
          <w:b w:val="0"/>
          <w:sz w:val="22"/>
          <w:szCs w:val="22"/>
        </w:rPr>
        <w:t xml:space="preserve">AAA</w:t>
      </w:r>
      <w:r>
        <w:rPr>
          <w:b w:val="0"/>
          <w:sz w:val="22"/>
          <w:szCs w:val="22"/>
        </w:rPr>
        <w:t xml:space="preserve">-</w:t>
      </w:r>
      <w:r>
        <w:rPr>
          <w:b w:val="0"/>
          <w:sz w:val="22"/>
          <w:szCs w:val="22"/>
        </w:rPr>
        <w:t xml:space="preserve">25</w:t>
      </w:r>
      <w:r>
        <w:rPr>
          <w:b w:val="0"/>
          <w:sz w:val="22"/>
          <w:szCs w:val="22"/>
        </w:rPr>
        <w:t xml:space="preserve">-1; while your second page should be </w:t>
      </w:r>
      <w:r>
        <w:rPr>
          <w:b w:val="0"/>
          <w:sz w:val="22"/>
          <w:szCs w:val="22"/>
        </w:rPr>
        <w:t xml:space="preserve">AAA</w:t>
      </w:r>
      <w:r>
        <w:rPr>
          <w:b w:val="0"/>
          <w:sz w:val="22"/>
          <w:szCs w:val="22"/>
        </w:rPr>
        <w:t xml:space="preserve">-</w:t>
      </w:r>
      <w:r>
        <w:rPr>
          <w:b w:val="0"/>
          <w:sz w:val="22"/>
          <w:szCs w:val="22"/>
        </w:rPr>
        <w:t xml:space="preserve">25</w:t>
      </w:r>
      <w:r>
        <w:rPr>
          <w:b w:val="0"/>
          <w:sz w:val="22"/>
          <w:szCs w:val="22"/>
        </w:rPr>
        <w:t xml:space="preserve">-2, and so on, for each of the SIX pages.  The page numbering must be placed in a footer at the bottom center of the p</w:t>
      </w:r>
      <w:r>
        <w:rPr>
          <w:b w:val="0"/>
          <w:sz w:val="22"/>
          <w:szCs w:val="22"/>
        </w:rPr>
        <w:t xml:space="preserve">age</w:t>
      </w:r>
      <w:r>
        <w:rPr>
          <w:b w:val="0"/>
          <w:sz w:val="22"/>
          <w:szCs w:val="22"/>
        </w:rPr>
        <w:t xml:space="preserve">. </w:t>
      </w:r>
      <w:r>
        <w:rPr>
          <w:b w:val="0"/>
          <w:sz w:val="22"/>
          <w:szCs w:val="20"/>
        </w:rPr>
      </w:r>
      <w:r>
        <w:rPr>
          <w:b w:val="0"/>
          <w:sz w:val="22"/>
          <w:szCs w:val="20"/>
        </w:rPr>
      </w:r>
    </w:p>
    <w:p>
      <w:pPr>
        <w:pStyle w:val="1271"/>
        <w:pBdr/>
        <w:tabs>
          <w:tab w:val="left" w:leader="none" w:pos="7740"/>
        </w:tabs>
        <w:spacing w:before="0" w:line="240" w:lineRule="auto"/>
        <w:ind w:right="0" w:hanging="360"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271"/>
        <w:pBdr/>
        <w:tabs>
          <w:tab w:val="left" w:leader="none" w:pos="7740"/>
        </w:tabs>
        <w:spacing w:before="0" w:line="240" w:lineRule="auto"/>
        <w:ind w:righ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2.1    </w:t>
      </w:r>
      <w:r>
        <w:rPr>
          <w:b/>
          <w:bCs/>
          <w:sz w:val="22"/>
          <w:szCs w:val="22"/>
        </w:rPr>
        <w:t xml:space="preserve">Margins</w:t>
      </w:r>
      <w:r>
        <w:rPr>
          <w:b/>
          <w:bCs/>
          <w:sz w:val="22"/>
          <w:szCs w:val="22"/>
        </w:rPr>
        <w:t xml:space="preserve"> on All Sides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271"/>
        <w:pBdr/>
        <w:tabs>
          <w:tab w:val="left" w:leader="none" w:pos="0"/>
        </w:tabs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Use </w:t>
      </w:r>
      <w:r>
        <w:rPr>
          <w:color w:val="0000ff"/>
          <w:sz w:val="22"/>
          <w:szCs w:val="20"/>
        </w:rPr>
        <w:t xml:space="preserve">US letter size</w:t>
      </w:r>
      <w:r>
        <w:rPr>
          <w:sz w:val="22"/>
          <w:szCs w:val="20"/>
        </w:rPr>
        <w:t xml:space="preserve"> paper</w:t>
      </w:r>
      <w:r>
        <w:rPr>
          <w:sz w:val="22"/>
          <w:szCs w:val="20"/>
        </w:rPr>
        <w:t xml:space="preserve"> 215.9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mm (</w:t>
      </w:r>
      <w:r>
        <w:rPr>
          <w:sz w:val="22"/>
          <w:szCs w:val="20"/>
        </w:rPr>
        <w:t xml:space="preserve">8.5 in) width</w:t>
      </w:r>
      <w:r>
        <w:rPr>
          <w:sz w:val="22"/>
          <w:szCs w:val="20"/>
        </w:rPr>
        <w:t xml:space="preserve"> x 2</w:t>
      </w:r>
      <w:r>
        <w:rPr>
          <w:sz w:val="22"/>
          <w:szCs w:val="20"/>
        </w:rPr>
        <w:t xml:space="preserve">79</w:t>
      </w:r>
      <w:r>
        <w:rPr>
          <w:sz w:val="22"/>
          <w:szCs w:val="20"/>
        </w:rPr>
        <w:t xml:space="preserve">.4 mm (</w:t>
      </w:r>
      <w:r>
        <w:rPr>
          <w:sz w:val="22"/>
          <w:szCs w:val="20"/>
        </w:rPr>
        <w:t xml:space="preserve">11 in) </w:t>
      </w:r>
      <w:r>
        <w:rPr>
          <w:sz w:val="22"/>
          <w:szCs w:val="20"/>
        </w:rPr>
        <w:t xml:space="preserve">height, with a </w:t>
      </w:r>
      <w:r>
        <w:rPr>
          <w:sz w:val="22"/>
          <w:szCs w:val="20"/>
        </w:rPr>
        <w:t xml:space="preserve">31.75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mm</w:t>
      </w:r>
      <w:r>
        <w:rPr>
          <w:sz w:val="22"/>
          <w:szCs w:val="20"/>
        </w:rPr>
        <w:t xml:space="preserve"> (</w:t>
      </w:r>
      <w:r>
        <w:rPr>
          <w:sz w:val="22"/>
          <w:szCs w:val="20"/>
        </w:rPr>
        <w:t xml:space="preserve">1.</w:t>
      </w:r>
      <w:r>
        <w:rPr>
          <w:sz w:val="22"/>
          <w:szCs w:val="20"/>
        </w:rPr>
        <w:t xml:space="preserve">25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in</w:t>
      </w:r>
      <w:r>
        <w:rPr>
          <w:sz w:val="22"/>
          <w:szCs w:val="20"/>
        </w:rPr>
        <w:t xml:space="preserve">.</w:t>
      </w:r>
      <w:r>
        <w:rPr>
          <w:sz w:val="22"/>
          <w:szCs w:val="20"/>
        </w:rPr>
        <w:t xml:space="preserve">) margin, </w:t>
      </w:r>
      <w:r>
        <w:rPr>
          <w:sz w:val="22"/>
          <w:szCs w:val="20"/>
        </w:rPr>
        <w:t xml:space="preserve">all around.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left" w:leader="none" w:pos="0"/>
        </w:tabs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left" w:leader="none" w:pos="0"/>
        </w:tabs>
        <w:spacing w:before="0" w:line="240" w:lineRule="auto"/>
        <w:ind w:right="0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2.2  </w:t>
      </w:r>
      <w:r>
        <w:rPr>
          <w:b/>
          <w:sz w:val="22"/>
          <w:szCs w:val="20"/>
        </w:rPr>
        <w:t xml:space="preserve">  </w:t>
      </w:r>
      <w:r>
        <w:rPr>
          <w:b/>
          <w:sz w:val="22"/>
          <w:szCs w:val="20"/>
        </w:rPr>
        <w:t xml:space="preserve">Brief </w:t>
      </w:r>
      <w:r>
        <w:rPr>
          <w:b/>
          <w:sz w:val="22"/>
          <w:szCs w:val="20"/>
        </w:rPr>
        <w:t xml:space="preserve">Instructions on Sentence Style</w:t>
      </w:r>
      <w:r>
        <w:rPr>
          <w:b/>
          <w:sz w:val="22"/>
          <w:szCs w:val="20"/>
        </w:rPr>
        <w:t xml:space="preserve">, Punctuation, and Grammar</w:t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71"/>
        <w:pBdr/>
        <w:tabs>
          <w:tab w:val="left" w:leader="none" w:pos="0"/>
        </w:tabs>
        <w:spacing w:after="0" w:before="0" w:line="240" w:lineRule="auto"/>
        <w:ind w:right="0"/>
        <w:rPr>
          <w:sz w:val="22"/>
          <w:szCs w:val="20"/>
        </w:rPr>
      </w:pPr>
      <w:r>
        <w:rPr>
          <w:color w:val="3333ff"/>
          <w:sz w:val="22"/>
          <w:szCs w:val="20"/>
        </w:rPr>
        <w:t xml:space="preserve">Authors are encouraged to have their contribution checked and reviewed for grammar and American spellings.</w:t>
      </w:r>
      <w:r>
        <w:rPr>
          <w:sz w:val="22"/>
          <w:szCs w:val="20"/>
        </w:rPr>
        <w:t xml:space="preserve">  </w:t>
      </w:r>
      <w:r>
        <w:rPr>
          <w:sz w:val="22"/>
          <w:szCs w:val="20"/>
        </w:rPr>
        <w:t xml:space="preserve">This is </w:t>
      </w:r>
      <w:r>
        <w:rPr>
          <w:sz w:val="22"/>
          <w:szCs w:val="20"/>
        </w:rPr>
        <w:t xml:space="preserve">important and</w:t>
      </w:r>
      <w:r>
        <w:rPr>
          <w:sz w:val="22"/>
          <w:szCs w:val="20"/>
        </w:rPr>
        <w:t xml:space="preserve"> cannot be overemphasized.</w:t>
      </w:r>
      <w:r>
        <w:rPr>
          <w:sz w:val="22"/>
          <w:szCs w:val="20"/>
        </w:rPr>
        <w:t xml:space="preserve">  </w:t>
      </w:r>
      <w:r>
        <w:rPr>
          <w:sz w:val="22"/>
          <w:szCs w:val="20"/>
        </w:rPr>
        <w:t xml:space="preserve">Authors must also write their contributions in </w:t>
      </w:r>
      <w:r>
        <w:rPr>
          <w:iCs/>
          <w:sz w:val="22"/>
          <w:szCs w:val="20"/>
        </w:rPr>
        <w:t xml:space="preserve">third person</w:t>
      </w:r>
      <w:r>
        <w:rPr>
          <w:sz w:val="22"/>
          <w:szCs w:val="20"/>
        </w:rPr>
        <w:t xml:space="preserve"> (this means authors may not use terms such as: I, me, we, our, you, your, etc.).  </w:t>
      </w:r>
      <w:r>
        <w:rPr>
          <w:color w:val="0070c0"/>
          <w:sz w:val="22"/>
          <w:szCs w:val="20"/>
          <w:u w:val="single"/>
        </w:rPr>
        <w:t xml:space="preserve">Two spaces MUST be left after the period of each sentence, and after a </w:t>
      </w:r>
      <w:r>
        <w:rPr>
          <w:color w:val="0070c0"/>
          <w:sz w:val="22"/>
          <w:szCs w:val="20"/>
          <w:u w:val="single"/>
        </w:rPr>
        <w:t xml:space="preserve">colon</w:t>
      </w:r>
      <w:r>
        <w:rPr>
          <w:color w:val="0070c0"/>
          <w:sz w:val="22"/>
          <w:szCs w:val="20"/>
        </w:rPr>
        <w:t xml:space="preserve">.</w:t>
      </w:r>
      <w:r>
        <w:rPr>
          <w:sz w:val="22"/>
          <w:szCs w:val="20"/>
        </w:rPr>
        <w:t xml:space="preserve"> Integers ten and below are to be spel</w:t>
      </w:r>
      <w:r>
        <w:rPr>
          <w:sz w:val="22"/>
          <w:szCs w:val="20"/>
        </w:rPr>
        <w:t xml:space="preserve">led</w:t>
      </w:r>
      <w:r>
        <w:rPr>
          <w:sz w:val="22"/>
          <w:szCs w:val="20"/>
        </w:rPr>
        <w:t xml:space="preserve"> out.  </w:t>
      </w:r>
      <w:r>
        <w:rPr>
          <w:i/>
          <w:sz w:val="22"/>
          <w:szCs w:val="20"/>
        </w:rPr>
        <w:t xml:space="preserve">Italicize foreign language phrases (e.g.</w:t>
      </w:r>
      <w:r>
        <w:rPr>
          <w:i/>
          <w:sz w:val="22"/>
          <w:szCs w:val="20"/>
        </w:rPr>
        <w:t xml:space="preserve">,</w:t>
      </w:r>
      <w:r>
        <w:rPr>
          <w:i/>
          <w:sz w:val="22"/>
          <w:szCs w:val="20"/>
        </w:rPr>
        <w:t xml:space="preserve"> Latin, French).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Use American conventions of commas after i.e., and e.g., but not after etc., unless etc. comes at the end of a subordinate clause. 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Put periods and commas outside quotation marks that “enclose subordinate clauses”, but “If it is a complete sentence, keep the period inside the quotation marks.”  </w:t>
      </w:r>
      <w:r>
        <w:rPr>
          <w:sz w:val="22"/>
          <w:szCs w:val="20"/>
        </w:rPr>
        <w:t xml:space="preserve">Further, “orphans” and “widows” must be avoided.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left" w:leader="none" w:pos="0"/>
        </w:tabs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left" w:leader="none" w:pos="270"/>
        </w:tabs>
        <w:spacing w:after="0" w:before="0" w:line="240" w:lineRule="auto"/>
        <w:ind w:right="0" w:hanging="270" w:left="27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3 </w:t>
        <w:tab/>
      </w:r>
      <w:r>
        <w:rPr>
          <w:b/>
          <w:bCs/>
          <w:sz w:val="22"/>
          <w:szCs w:val="20"/>
        </w:rPr>
        <w:t xml:space="preserve">MANUSCRIPT STRUCTURE</w:t>
      </w:r>
      <w:r>
        <w:rPr>
          <w:b/>
          <w:bCs/>
          <w:sz w:val="22"/>
          <w:szCs w:val="20"/>
        </w:rPr>
      </w:r>
      <w:r>
        <w:rPr>
          <w:b/>
          <w:bCs/>
          <w:sz w:val="22"/>
          <w:szCs w:val="20"/>
        </w:rPr>
      </w:r>
    </w:p>
    <w:p>
      <w:pPr>
        <w:pStyle w:val="1271"/>
        <w:pBdr/>
        <w:tabs>
          <w:tab w:val="left" w:leader="none" w:pos="0"/>
        </w:tabs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The </w:t>
      </w:r>
      <w:r>
        <w:rPr>
          <w:b/>
          <w:bCs/>
          <w:sz w:val="22"/>
          <w:szCs w:val="20"/>
        </w:rPr>
        <w:t xml:space="preserve">I</w:t>
      </w:r>
      <w:r>
        <w:rPr>
          <w:b/>
          <w:bCs/>
          <w:sz w:val="22"/>
          <w:szCs w:val="20"/>
        </w:rPr>
        <w:t xml:space="preserve">ntroduction </w:t>
      </w:r>
      <w:r>
        <w:rPr>
          <w:sz w:val="22"/>
          <w:szCs w:val="20"/>
        </w:rPr>
        <w:t xml:space="preserve">should brief</w:t>
      </w:r>
      <w:r>
        <w:rPr>
          <w:sz w:val="22"/>
          <w:szCs w:val="20"/>
        </w:rPr>
        <w:t xml:space="preserve">ly place the study in a broad context and highlight its relevance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and significance, defining the research purpose. The current state of the research field should be carefully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reviewed,</w:t>
      </w:r>
      <w:r>
        <w:rPr>
          <w:sz w:val="22"/>
          <w:szCs w:val="20"/>
        </w:rPr>
        <w:t xml:space="preserve"> and key publications cited, highlighting controversial and diverging hypotheses (if relevant).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Finally, briefly mention the main aim of the work and the expected research impact.</w:t>
      </w:r>
      <w:r>
        <w:rPr>
          <w:sz w:val="22"/>
          <w:szCs w:val="20"/>
        </w:rPr>
        <w:t xml:space="preserve"> The </w:t>
      </w:r>
      <w:r>
        <w:rPr>
          <w:b/>
          <w:bCs/>
          <w:sz w:val="22"/>
          <w:szCs w:val="20"/>
        </w:rPr>
        <w:t xml:space="preserve">Materials and Methods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section should be described with sufficient details to allow others to replicate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and build on the published results.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Autho</w:t>
      </w:r>
      <w:r>
        <w:rPr>
          <w:sz w:val="22"/>
          <w:szCs w:val="20"/>
        </w:rPr>
        <w:t xml:space="preserve">rs should present </w:t>
      </w:r>
      <w:r>
        <w:rPr>
          <w:sz w:val="22"/>
          <w:szCs w:val="20"/>
        </w:rPr>
        <w:t xml:space="preserve">the </w:t>
      </w:r>
      <w:r>
        <w:rPr>
          <w:b/>
          <w:bCs/>
          <w:sz w:val="22"/>
          <w:szCs w:val="20"/>
        </w:rPr>
        <w:t xml:space="preserve">R</w:t>
      </w:r>
      <w:r>
        <w:rPr>
          <w:b/>
          <w:bCs/>
          <w:sz w:val="22"/>
          <w:szCs w:val="20"/>
        </w:rPr>
        <w:t xml:space="preserve">esults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and</w:t>
      </w:r>
      <w:r>
        <w:rPr>
          <w:sz w:val="22"/>
          <w:szCs w:val="20"/>
        </w:rPr>
        <w:t xml:space="preserve"> then</w:t>
      </w:r>
      <w:r>
        <w:rPr>
          <w:sz w:val="22"/>
          <w:szCs w:val="20"/>
        </w:rPr>
        <w:t xml:space="preserve"> </w:t>
      </w:r>
      <w:r>
        <w:rPr>
          <w:b/>
          <w:bCs/>
          <w:sz w:val="22"/>
          <w:szCs w:val="20"/>
        </w:rPr>
        <w:t xml:space="preserve">D</w:t>
      </w:r>
      <w:r>
        <w:rPr>
          <w:b/>
          <w:bCs/>
          <w:sz w:val="22"/>
          <w:szCs w:val="20"/>
        </w:rPr>
        <w:t xml:space="preserve">iscuss </w:t>
      </w:r>
      <w:r>
        <w:rPr>
          <w:sz w:val="22"/>
          <w:szCs w:val="20"/>
        </w:rPr>
        <w:t xml:space="preserve">them to</w:t>
      </w:r>
      <w:r>
        <w:rPr>
          <w:sz w:val="22"/>
          <w:szCs w:val="20"/>
        </w:rPr>
        <w:t xml:space="preserve"> describe how they can be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interpreted from the perspective of previous studies and the working hypotheses. The findings and their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implications should be discussed in the broadest context possible. Future research directions </w:t>
      </w:r>
      <w:r>
        <w:rPr>
          <w:sz w:val="22"/>
          <w:szCs w:val="20"/>
        </w:rPr>
        <w:t xml:space="preserve">should be </w:t>
      </w:r>
      <w:r>
        <w:rPr>
          <w:sz w:val="22"/>
          <w:szCs w:val="20"/>
        </w:rPr>
        <w:t xml:space="preserve">specifically </w:t>
      </w:r>
      <w:r>
        <w:rPr>
          <w:sz w:val="22"/>
          <w:szCs w:val="20"/>
        </w:rPr>
        <w:t xml:space="preserve">excluded</w:t>
      </w:r>
      <w:r>
        <w:rPr>
          <w:sz w:val="22"/>
          <w:szCs w:val="20"/>
        </w:rPr>
        <w:t xml:space="preserve">, as the focus should be on the work at hand</w:t>
      </w:r>
      <w:r>
        <w:rPr>
          <w:sz w:val="22"/>
          <w:szCs w:val="20"/>
        </w:rPr>
        <w:t xml:space="preserve">. The </w:t>
      </w:r>
      <w:r>
        <w:rPr>
          <w:b/>
          <w:bCs/>
          <w:sz w:val="22"/>
          <w:szCs w:val="20"/>
        </w:rPr>
        <w:t xml:space="preserve">Conclusions </w:t>
      </w:r>
      <w:r>
        <w:rPr>
          <w:sz w:val="22"/>
          <w:szCs w:val="20"/>
        </w:rPr>
        <w:t xml:space="preserve">section summarizes the results and formulates the essential conclusion(s).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2"/>
        <w:pBdr/>
        <w:spacing w:before="0" w:line="240" w:lineRule="auto"/>
        <w:ind w:right="0"/>
        <w:contextualSpacing w:val="true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2"/>
        <w:pBdr/>
        <w:spacing w:before="0" w:line="240" w:lineRule="auto"/>
        <w:ind w:right="0" w:hanging="360" w:left="360"/>
        <w:contextualSpacing w:val="true"/>
        <w:rPr>
          <w:sz w:val="22"/>
          <w:szCs w:val="20"/>
        </w:rPr>
      </w:pPr>
      <w:r>
        <w:rPr>
          <w:sz w:val="22"/>
          <w:szCs w:val="20"/>
        </w:rPr>
        <w:t xml:space="preserve">4</w:t>
        <w:tab/>
      </w:r>
      <w:r>
        <w:rPr>
          <w:sz w:val="22"/>
          <w:szCs w:val="20"/>
        </w:rPr>
        <w:t xml:space="preserve">MAJOR HEADINGS </w:t>
      </w:r>
      <w:r>
        <w:rPr>
          <w:sz w:val="22"/>
          <w:szCs w:val="20"/>
        </w:rPr>
        <w:t xml:space="preserve">AND EQUATIONS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1</w:t>
      </w:r>
      <w:r>
        <w:rPr>
          <w:sz w:val="22"/>
          <w:szCs w:val="20"/>
          <w:vertAlign w:val="superscript"/>
        </w:rPr>
        <w:t xml:space="preserve">st</w:t>
      </w:r>
      <w:r>
        <w:rPr>
          <w:sz w:val="22"/>
          <w:szCs w:val="20"/>
        </w:rPr>
        <w:t xml:space="preserve"> order h</w:t>
      </w:r>
      <w:r>
        <w:rPr>
          <w:sz w:val="22"/>
          <w:szCs w:val="20"/>
        </w:rPr>
        <w:t xml:space="preserve">eadings should be typed</w:t>
      </w:r>
      <w:r>
        <w:rPr>
          <w:sz w:val="22"/>
          <w:szCs w:val="20"/>
        </w:rPr>
        <w:t xml:space="preserve"> in boldface in </w:t>
      </w:r>
      <w:r>
        <w:rPr>
          <w:sz w:val="22"/>
          <w:szCs w:val="20"/>
        </w:rPr>
        <w:t xml:space="preserve">Upper Case;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2</w:t>
      </w:r>
      <w:r>
        <w:rPr>
          <w:sz w:val="22"/>
          <w:szCs w:val="20"/>
          <w:vertAlign w:val="superscript"/>
        </w:rPr>
        <w:t xml:space="preserve">nd</w:t>
      </w:r>
      <w:r>
        <w:rPr>
          <w:sz w:val="22"/>
          <w:szCs w:val="20"/>
        </w:rPr>
        <w:t xml:space="preserve"> order headings should be boldface in Title Case; 3</w:t>
      </w:r>
      <w:r>
        <w:rPr>
          <w:sz w:val="22"/>
          <w:szCs w:val="20"/>
          <w:vertAlign w:val="superscript"/>
        </w:rPr>
        <w:t xml:space="preserve">rd</w:t>
      </w:r>
      <w:r>
        <w:rPr>
          <w:sz w:val="22"/>
          <w:szCs w:val="20"/>
        </w:rPr>
        <w:t xml:space="preserve"> order headings should be italicized in Sentence Case.  Avoid “widows,” i.e., section heading </w:t>
      </w:r>
      <w:r>
        <w:rPr>
          <w:sz w:val="22"/>
          <w:szCs w:val="20"/>
        </w:rPr>
        <w:t xml:space="preserve">or subheading </w:t>
      </w:r>
      <w:r>
        <w:rPr>
          <w:sz w:val="22"/>
          <w:szCs w:val="20"/>
        </w:rPr>
        <w:t xml:space="preserve">coming on the last line of a page; and avoid “orphans,” i.e., a single short line on the top of a page. </w:t>
      </w:r>
      <w:r>
        <w:rPr>
          <w:color w:val="0000ff"/>
          <w:sz w:val="22"/>
          <w:szCs w:val="20"/>
        </w:rPr>
        <w:t xml:space="preserve"> Leave only</w:t>
      </w:r>
      <w:r>
        <w:rPr>
          <w:color w:val="0000ff"/>
          <w:sz w:val="22"/>
          <w:szCs w:val="20"/>
        </w:rPr>
        <w:t xml:space="preserve"> a 6pt line space after all </w:t>
      </w:r>
      <w:r>
        <w:rPr>
          <w:color w:val="0000ff"/>
          <w:sz w:val="22"/>
          <w:szCs w:val="20"/>
        </w:rPr>
        <w:t xml:space="preserve">headings; leave one </w:t>
      </w:r>
      <w:r>
        <w:rPr>
          <w:color w:val="0000ff"/>
          <w:sz w:val="22"/>
          <w:szCs w:val="20"/>
        </w:rPr>
        <w:t xml:space="preserve">line </w:t>
      </w:r>
      <w:r>
        <w:rPr>
          <w:color w:val="0000ff"/>
          <w:sz w:val="22"/>
          <w:szCs w:val="20"/>
        </w:rPr>
        <w:t xml:space="preserve">space before.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3"/>
        <w:pBdr/>
        <w:tabs>
          <w:tab w:val="num" w:leader="none" w:pos="360"/>
        </w:tabs>
        <w:spacing w:after="120" w:before="0" w:line="240" w:lineRule="auto"/>
        <w:ind w:right="0"/>
        <w:jc w:val="left"/>
        <w:rPr>
          <w:rFonts w:ascii="Times New Roman" w:hAnsi="Times New Roman" w:cs="Times New Roman"/>
          <w:i w:val="0"/>
          <w:sz w:val="22"/>
          <w:szCs w:val="20"/>
        </w:rPr>
      </w:pPr>
      <w:r>
        <w:rPr>
          <w:rFonts w:ascii="Times New Roman" w:hAnsi="Times New Roman" w:cs="Times New Roman"/>
          <w:i w:val="0"/>
          <w:sz w:val="22"/>
          <w:szCs w:val="20"/>
        </w:rPr>
        <w:t xml:space="preserve">4</w:t>
      </w:r>
      <w:r>
        <w:rPr>
          <w:rFonts w:ascii="Times New Roman" w:hAnsi="Times New Roman" w:cs="Times New Roman"/>
          <w:i w:val="0"/>
          <w:sz w:val="22"/>
          <w:szCs w:val="20"/>
        </w:rPr>
        <w:t xml:space="preserve">.1    Subheadings</w:t>
      </w:r>
      <w:r>
        <w:rPr>
          <w:rFonts w:ascii="Times New Roman" w:hAnsi="Times New Roman" w:cs="Times New Roman"/>
          <w:i w:val="0"/>
          <w:sz w:val="22"/>
          <w:szCs w:val="20"/>
        </w:rPr>
        <w:t xml:space="preserve"> for Use in Paper (2</w:t>
      </w:r>
      <w:r>
        <w:rPr>
          <w:rFonts w:ascii="Times New Roman" w:hAnsi="Times New Roman" w:cs="Times New Roman"/>
          <w:i w:val="0"/>
          <w:sz w:val="22"/>
          <w:szCs w:val="20"/>
          <w:vertAlign w:val="superscript"/>
        </w:rPr>
        <w:t xml:space="preserve">nd</w:t>
      </w:r>
      <w:r>
        <w:rPr>
          <w:rFonts w:ascii="Times New Roman" w:hAnsi="Times New Roman" w:cs="Times New Roman"/>
          <w:i w:val="0"/>
          <w:sz w:val="22"/>
          <w:szCs w:val="20"/>
        </w:rPr>
        <w:t xml:space="preserve"> Order Headings)</w:t>
      </w:r>
      <w:r>
        <w:rPr>
          <w:rFonts w:ascii="Times New Roman" w:hAnsi="Times New Roman" w:cs="Times New Roman"/>
          <w:i w:val="0"/>
          <w:sz w:val="22"/>
          <w:szCs w:val="20"/>
        </w:rPr>
      </w:r>
      <w:r>
        <w:rPr>
          <w:rFonts w:ascii="Times New Roman" w:hAnsi="Times New Roman" w:cs="Times New Roman"/>
          <w:i w:val="0"/>
          <w:sz w:val="22"/>
          <w:szCs w:val="20"/>
        </w:rPr>
      </w:r>
    </w:p>
    <w:p>
      <w:pPr>
        <w:pStyle w:val="1271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All 2</w:t>
      </w:r>
      <w:r>
        <w:rPr>
          <w:sz w:val="22"/>
          <w:szCs w:val="20"/>
          <w:vertAlign w:val="superscript"/>
        </w:rPr>
        <w:t xml:space="preserve">nd</w:t>
      </w:r>
      <w:r>
        <w:rPr>
          <w:sz w:val="22"/>
          <w:szCs w:val="20"/>
        </w:rPr>
        <w:t xml:space="preserve"> order </w:t>
      </w:r>
      <w:r>
        <w:rPr>
          <w:sz w:val="22"/>
          <w:szCs w:val="20"/>
        </w:rPr>
        <w:t xml:space="preserve">headings should be typed in </w:t>
      </w:r>
      <w:r>
        <w:rPr>
          <w:b/>
          <w:iCs/>
          <w:sz w:val="22"/>
          <w:szCs w:val="20"/>
        </w:rPr>
        <w:t xml:space="preserve">boldface</w:t>
      </w:r>
      <w:r>
        <w:rPr>
          <w:sz w:val="22"/>
          <w:szCs w:val="20"/>
        </w:rPr>
        <w:t xml:space="preserve">. </w:t>
      </w:r>
      <w:r>
        <w:rPr>
          <w:sz w:val="22"/>
          <w:szCs w:val="20"/>
        </w:rPr>
        <w:t xml:space="preserve"> </w:t>
      </w:r>
      <w:r>
        <w:rPr>
          <w:color w:val="0000ff"/>
          <w:sz w:val="22"/>
          <w:szCs w:val="20"/>
        </w:rPr>
        <w:t xml:space="preserve">Use Title Case</w:t>
      </w:r>
      <w:r>
        <w:rPr>
          <w:sz w:val="22"/>
          <w:szCs w:val="20"/>
        </w:rPr>
        <w:t xml:space="preserve">.  Leave 6pt </w:t>
      </w:r>
      <w:r>
        <w:rPr>
          <w:sz w:val="22"/>
          <w:szCs w:val="20"/>
        </w:rPr>
        <w:t xml:space="preserve">additional </w:t>
      </w:r>
      <w:r>
        <w:rPr>
          <w:sz w:val="22"/>
          <w:szCs w:val="20"/>
        </w:rPr>
        <w:t xml:space="preserve">line </w:t>
      </w:r>
      <w:r>
        <w:rPr>
          <w:sz w:val="22"/>
          <w:szCs w:val="20"/>
        </w:rPr>
        <w:t xml:space="preserve">space after the sub-headings; leave one space before.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spacing w:after="0" w:before="0" w:line="240" w:lineRule="auto"/>
        <w:ind w:right="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271"/>
        <w:pBdr/>
        <w:spacing w:before="0" w:line="240" w:lineRule="auto"/>
        <w:ind w:right="0"/>
        <w:rPr>
          <w:b/>
          <w:i/>
          <w:sz w:val="22"/>
          <w:szCs w:val="20"/>
        </w:rPr>
      </w:pPr>
      <w:r>
        <w:rPr>
          <w:b/>
          <w:sz w:val="22"/>
          <w:szCs w:val="20"/>
        </w:rPr>
        <w:t xml:space="preserve">4</w:t>
      </w:r>
      <w:r>
        <w:rPr>
          <w:b/>
          <w:sz w:val="22"/>
          <w:szCs w:val="20"/>
        </w:rPr>
        <w:t xml:space="preserve">.1.1    </w:t>
      </w:r>
      <w:r>
        <w:rPr>
          <w:b/>
          <w:i/>
          <w:sz w:val="22"/>
          <w:szCs w:val="20"/>
        </w:rPr>
        <w:t xml:space="preserve">Sub-subheadings</w:t>
      </w:r>
      <w:r>
        <w:rPr>
          <w:b/>
          <w:i/>
          <w:sz w:val="22"/>
          <w:szCs w:val="20"/>
        </w:rPr>
        <w:t xml:space="preserve"> for use in paper (3</w:t>
      </w:r>
      <w:r>
        <w:rPr>
          <w:b/>
          <w:i/>
          <w:sz w:val="22"/>
          <w:szCs w:val="20"/>
          <w:vertAlign w:val="superscript"/>
        </w:rPr>
        <w:t xml:space="preserve">rd</w:t>
      </w:r>
      <w:r>
        <w:rPr>
          <w:b/>
          <w:i/>
          <w:sz w:val="22"/>
          <w:szCs w:val="20"/>
        </w:rPr>
        <w:t xml:space="preserve"> order headings)</w:t>
      </w:r>
      <w:r>
        <w:rPr>
          <w:b/>
          <w:i/>
          <w:sz w:val="22"/>
          <w:szCs w:val="20"/>
        </w:rPr>
      </w:r>
      <w:r>
        <w:rPr>
          <w:b/>
          <w:i/>
          <w:sz w:val="22"/>
          <w:szCs w:val="20"/>
        </w:rPr>
      </w:r>
    </w:p>
    <w:p>
      <w:pPr>
        <w:pStyle w:val="1271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Typeset 3</w:t>
      </w:r>
      <w:r>
        <w:rPr>
          <w:sz w:val="22"/>
          <w:szCs w:val="20"/>
          <w:vertAlign w:val="superscript"/>
        </w:rPr>
        <w:t xml:space="preserve">rd</w:t>
      </w:r>
      <w:r>
        <w:rPr>
          <w:sz w:val="22"/>
          <w:szCs w:val="20"/>
        </w:rPr>
        <w:t xml:space="preserve"> order </w:t>
      </w:r>
      <w:r>
        <w:rPr>
          <w:sz w:val="22"/>
          <w:szCs w:val="20"/>
        </w:rPr>
        <w:t xml:space="preserve">headings in </w:t>
      </w:r>
      <w:r>
        <w:rPr>
          <w:b/>
          <w:i/>
          <w:sz w:val="22"/>
          <w:szCs w:val="20"/>
        </w:rPr>
        <w:t xml:space="preserve">boldface italic</w:t>
      </w:r>
      <w:r>
        <w:rPr>
          <w:sz w:val="22"/>
          <w:szCs w:val="20"/>
        </w:rPr>
        <w:t xml:space="preserve"> and capitalize the first letter of the first word only</w:t>
      </w:r>
      <w:r>
        <w:rPr>
          <w:sz w:val="22"/>
          <w:szCs w:val="20"/>
        </w:rPr>
        <w:t xml:space="preserve">, i.e., Sentence Case</w:t>
      </w:r>
      <w:r>
        <w:rPr>
          <w:sz w:val="22"/>
          <w:szCs w:val="20"/>
        </w:rPr>
        <w:t xml:space="preserve">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Number the</w:t>
      </w:r>
      <w:r>
        <w:rPr>
          <w:sz w:val="22"/>
          <w:szCs w:val="20"/>
        </w:rPr>
        <w:t xml:space="preserve"> sub-subheadings systematically.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left" w:leader="none" w:pos="600"/>
        </w:tabs>
        <w:spacing w:before="0" w:line="240" w:lineRule="auto"/>
        <w:ind w:right="0" w:hanging="605" w:left="605"/>
        <w:rPr>
          <w:b/>
          <w:sz w:val="22"/>
          <w:szCs w:val="20"/>
        </w:rPr>
      </w:pPr>
      <w:r>
        <w:rPr>
          <w:b/>
          <w:sz w:val="22"/>
          <w:szCs w:val="20"/>
        </w:rPr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71"/>
        <w:pBdr/>
        <w:tabs>
          <w:tab w:val="left" w:leader="none" w:pos="600"/>
        </w:tabs>
        <w:spacing w:before="0" w:line="240" w:lineRule="auto"/>
        <w:ind w:right="0" w:hanging="605" w:left="605"/>
        <w:rPr>
          <w:b/>
          <w:sz w:val="22"/>
          <w:szCs w:val="20"/>
        </w:rPr>
      </w:pPr>
      <w:r>
        <w:rPr>
          <w:b/>
          <w:sz w:val="22"/>
          <w:szCs w:val="20"/>
        </w:rPr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71"/>
        <w:pBdr/>
        <w:tabs>
          <w:tab w:val="left" w:leader="none" w:pos="600"/>
        </w:tabs>
        <w:spacing w:before="0" w:line="240" w:lineRule="auto"/>
        <w:ind w:right="0" w:hanging="605" w:left="605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</w:t>
      </w:r>
      <w:r>
        <w:rPr>
          <w:b/>
          <w:sz w:val="22"/>
          <w:szCs w:val="20"/>
        </w:rPr>
        <w:t xml:space="preserve">.1.2    </w:t>
      </w:r>
      <w:r>
        <w:rPr>
          <w:b/>
          <w:i/>
          <w:sz w:val="22"/>
          <w:szCs w:val="20"/>
        </w:rPr>
        <w:t xml:space="preserve">Numbering and </w:t>
      </w:r>
      <w:r>
        <w:rPr>
          <w:b/>
          <w:i/>
          <w:sz w:val="22"/>
          <w:szCs w:val="20"/>
        </w:rPr>
        <w:t xml:space="preserve">s</w:t>
      </w:r>
      <w:r>
        <w:rPr>
          <w:b/>
          <w:i/>
          <w:sz w:val="22"/>
          <w:szCs w:val="20"/>
        </w:rPr>
        <w:t xml:space="preserve">pacing of </w:t>
      </w:r>
      <w:r>
        <w:rPr>
          <w:b/>
          <w:i/>
          <w:sz w:val="22"/>
          <w:szCs w:val="20"/>
        </w:rPr>
        <w:t xml:space="preserve">h</w:t>
      </w:r>
      <w:r>
        <w:rPr>
          <w:b/>
          <w:i/>
          <w:sz w:val="22"/>
          <w:szCs w:val="20"/>
        </w:rPr>
        <w:t xml:space="preserve">eadings</w:t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Sections and </w:t>
      </w:r>
      <w:r>
        <w:rPr>
          <w:sz w:val="22"/>
          <w:szCs w:val="20"/>
        </w:rPr>
        <w:t xml:space="preserve">sub-sections are </w:t>
      </w:r>
      <w:r>
        <w:rPr>
          <w:color w:val="0000ff"/>
          <w:sz w:val="22"/>
          <w:szCs w:val="20"/>
        </w:rPr>
        <w:t xml:space="preserve">numbered uniformly</w:t>
      </w:r>
      <w:r>
        <w:rPr>
          <w:sz w:val="22"/>
          <w:szCs w:val="20"/>
        </w:rPr>
        <w:t xml:space="preserve"> in Arabic numerals.  Leave</w:t>
      </w:r>
      <w:r>
        <w:rPr>
          <w:color w:val="0000ff"/>
          <w:sz w:val="22"/>
          <w:szCs w:val="20"/>
        </w:rPr>
        <w:t xml:space="preserve"> four</w:t>
      </w:r>
      <w:r>
        <w:rPr>
          <w:color w:val="0000ff"/>
          <w:sz w:val="22"/>
          <w:szCs w:val="20"/>
        </w:rPr>
        <w:t xml:space="preserve"> spaces</w:t>
      </w:r>
      <w:r>
        <w:rPr>
          <w:sz w:val="22"/>
          <w:szCs w:val="20"/>
        </w:rPr>
        <w:t xml:space="preserve"> between </w:t>
      </w:r>
      <w:r>
        <w:rPr>
          <w:sz w:val="22"/>
          <w:szCs w:val="20"/>
        </w:rPr>
        <w:t xml:space="preserve">the numbering and </w:t>
      </w:r>
      <w:r>
        <w:rPr>
          <w:sz w:val="22"/>
          <w:szCs w:val="20"/>
        </w:rPr>
        <w:t xml:space="preserve">the heading</w:t>
      </w:r>
      <w:r>
        <w:rPr>
          <w:sz w:val="22"/>
          <w:szCs w:val="20"/>
        </w:rPr>
        <w:t xml:space="preserve">.  </w:t>
      </w:r>
      <w:r>
        <w:rPr>
          <w:sz w:val="22"/>
          <w:szCs w:val="20"/>
        </w:rPr>
        <w:t xml:space="preserve">Flush left the first paragraph </w:t>
      </w:r>
      <w:r>
        <w:rPr>
          <w:sz w:val="22"/>
          <w:szCs w:val="20"/>
        </w:rPr>
        <w:t xml:space="preserve">after</w:t>
      </w:r>
      <w:r>
        <w:rPr>
          <w:sz w:val="22"/>
          <w:szCs w:val="20"/>
        </w:rPr>
        <w:t xml:space="preserve"> section headings.  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pBdr/>
        <w:tabs>
          <w:tab w:val="left" w:leader="none" w:pos="720"/>
        </w:tabs>
        <w:spacing w:after="0" w:before="0" w:line="240" w:lineRule="auto"/>
        <w:ind w:right="0" w:firstLine="360"/>
        <w:rPr>
          <w:sz w:val="22"/>
          <w:szCs w:val="20"/>
        </w:rPr>
      </w:pPr>
      <w:r>
        <w:rPr>
          <w:color w:val="0000ff"/>
          <w:sz w:val="22"/>
          <w:szCs w:val="20"/>
          <w:u w:val="single"/>
        </w:rPr>
        <w:t xml:space="preserve">Indent (by 0.25</w:t>
      </w:r>
      <w:r>
        <w:rPr>
          <w:color w:val="0000ff"/>
          <w:sz w:val="22"/>
          <w:szCs w:val="20"/>
          <w:u w:val="single"/>
        </w:rPr>
        <w:t xml:space="preserve"> </w:t>
      </w:r>
      <w:r>
        <w:rPr>
          <w:color w:val="0000ff"/>
          <w:sz w:val="22"/>
          <w:szCs w:val="20"/>
          <w:u w:val="single"/>
        </w:rPr>
        <w:t xml:space="preserve">in</w:t>
      </w:r>
      <w:r>
        <w:rPr>
          <w:color w:val="0000ff"/>
          <w:sz w:val="22"/>
          <w:szCs w:val="20"/>
          <w:u w:val="single"/>
        </w:rPr>
        <w:t xml:space="preserve">.</w:t>
      </w:r>
      <w:r>
        <w:rPr>
          <w:color w:val="0000ff"/>
          <w:sz w:val="22"/>
          <w:szCs w:val="20"/>
          <w:u w:val="single"/>
        </w:rPr>
        <w:t xml:space="preserve">)</w:t>
      </w:r>
      <w:r>
        <w:rPr>
          <w:sz w:val="22"/>
          <w:szCs w:val="20"/>
          <w:u w:val="single"/>
        </w:rPr>
        <w:t xml:space="preserve"> subsequent paragraphs in your sections, sub-sections, and sub-subsections to offset them from previous paragraphs.</w:t>
      </w:r>
      <w:r>
        <w:rPr>
          <w:sz w:val="22"/>
          <w:szCs w:val="20"/>
        </w:rPr>
        <w:t xml:space="preserve">  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4"/>
        <w:pBdr/>
        <w:spacing w:after="120" w:before="0" w:line="240" w:lineRule="auto"/>
        <w:ind w:right="0" w:hanging="720" w:left="720"/>
        <w:rPr>
          <w:rFonts w:ascii="Times New Roman" w:hAnsi="Times New Roman" w:cs="Times New Roman"/>
          <w:i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4</w:t>
      </w:r>
      <w:r>
        <w:rPr>
          <w:rFonts w:ascii="Times New Roman" w:hAnsi="Times New Roman" w:cs="Times New Roman"/>
          <w:sz w:val="22"/>
          <w:szCs w:val="20"/>
        </w:rPr>
        <w:t xml:space="preserve">.1.3    </w:t>
      </w:r>
      <w:r>
        <w:rPr>
          <w:rFonts w:ascii="Times New Roman" w:hAnsi="Times New Roman" w:cs="Times New Roman"/>
          <w:i/>
          <w:sz w:val="22"/>
          <w:szCs w:val="20"/>
        </w:rPr>
        <w:t xml:space="preserve">List of </w:t>
      </w:r>
      <w:r>
        <w:rPr>
          <w:rFonts w:ascii="Times New Roman" w:hAnsi="Times New Roman" w:cs="Times New Roman"/>
          <w:i/>
          <w:sz w:val="22"/>
          <w:szCs w:val="20"/>
        </w:rPr>
        <w:t xml:space="preserve">i</w:t>
      </w:r>
      <w:r>
        <w:rPr>
          <w:rFonts w:ascii="Times New Roman" w:hAnsi="Times New Roman" w:cs="Times New Roman"/>
          <w:i/>
          <w:sz w:val="22"/>
          <w:szCs w:val="20"/>
        </w:rPr>
        <w:t xml:space="preserve">tems</w:t>
      </w:r>
      <w:r>
        <w:rPr>
          <w:rFonts w:ascii="Times New Roman" w:hAnsi="Times New Roman" w:cs="Times New Roman"/>
          <w:i/>
          <w:sz w:val="22"/>
          <w:szCs w:val="20"/>
        </w:rPr>
      </w:r>
      <w:r>
        <w:rPr>
          <w:rFonts w:ascii="Times New Roman" w:hAnsi="Times New Roman" w:cs="Times New Roman"/>
          <w:i/>
          <w:sz w:val="22"/>
          <w:szCs w:val="20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Lists may be laid out with each item marked by a bullet (dots only)</w:t>
      </w:r>
      <w:r>
        <w:rPr>
          <w:sz w:val="22"/>
          <w:szCs w:val="20"/>
        </w:rPr>
        <w:t xml:space="preserve">, by a number, or in lowercase Roman numerals.  Example</w:t>
      </w:r>
      <w:r>
        <w:rPr>
          <w:sz w:val="22"/>
          <w:szCs w:val="20"/>
        </w:rPr>
        <w:t xml:space="preserve">: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numPr>
          <w:ilvl w:val="0"/>
          <w:numId w:val="15"/>
        </w:numPr>
        <w:pBdr/>
        <w:tabs>
          <w:tab w:val="clear" w:leader="none" w:pos="720"/>
          <w:tab w:val="left" w:leader="none" w:pos="5559"/>
          <w:tab w:val="clear" w:leader="none" w:pos="7200"/>
        </w:tabs>
        <w:spacing w:after="0" w:before="6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Item one</w:t>
      </w:r>
      <w:r>
        <w:rPr>
          <w:sz w:val="22"/>
          <w:szCs w:val="20"/>
        </w:rPr>
        <w:t xml:space="preserve"> item one item one</w:t>
      </w:r>
      <w:r>
        <w:rPr>
          <w:sz w:val="22"/>
          <w:szCs w:val="20"/>
        </w:rPr>
        <w:t xml:space="preserve"> item one item one</w:t>
      </w:r>
      <w:r>
        <w:rPr>
          <w:sz w:val="22"/>
          <w:szCs w:val="20"/>
        </w:rPr>
        <w:tab/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5"/>
        <w:numPr>
          <w:ilvl w:val="0"/>
          <w:numId w:val="15"/>
        </w:numPr>
        <w:pBdr/>
        <w:spacing w:after="60" w:before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Item two item two item two item two item two item two item two item two item two Item two item two item two.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22"/>
        </w:rPr>
      </w:pPr>
      <w:r>
        <w:rPr>
          <w:color w:val="0000ff"/>
          <w:sz w:val="22"/>
          <w:szCs w:val="22"/>
        </w:rPr>
        <w:t xml:space="preserve">Leave 3pt space before the first bullet and after </w:t>
      </w:r>
      <w:r>
        <w:rPr>
          <w:color w:val="0000ff"/>
          <w:sz w:val="22"/>
          <w:szCs w:val="22"/>
        </w:rPr>
        <w:t xml:space="preserve">the last bullet, and no extra space between the bullets</w:t>
      </w:r>
      <w:r>
        <w:rPr>
          <w:sz w:val="22"/>
          <w:szCs w:val="22"/>
        </w:rPr>
        <w:t xml:space="preserve">.  First item should be left indented by 0.25”, </w:t>
      </w:r>
      <w:r>
        <w:rPr>
          <w:sz w:val="22"/>
          <w:szCs w:val="22"/>
        </w:rPr>
        <w:t xml:space="preserve">sub-</w:t>
      </w:r>
      <w:r>
        <w:rPr>
          <w:sz w:val="22"/>
          <w:szCs w:val="22"/>
        </w:rPr>
        <w:t xml:space="preserve">item by 0.5”.  They can also be rendered with Arabic integers or Roman numerals (i, ii, iii, iv, etc.).  Example: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89"/>
        <w:numPr>
          <w:ilvl w:val="0"/>
          <w:numId w:val="24"/>
        </w:numPr>
        <w:pBdr/>
        <w:spacing w:after="0" w:before="60" w:line="240" w:lineRule="auto"/>
        <w:ind w:right="0"/>
        <w:rPr>
          <w:sz w:val="22"/>
          <w:szCs w:val="20"/>
        </w:rPr>
      </w:pPr>
      <w:r>
        <w:rPr>
          <w:sz w:val="22"/>
          <w:szCs w:val="20"/>
        </w:rPr>
        <w:t xml:space="preserve"> I</w:t>
      </w:r>
      <w:r>
        <w:rPr>
          <w:sz w:val="22"/>
          <w:szCs w:val="20"/>
        </w:rPr>
        <w:t xml:space="preserve">tem one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8"/>
        <w:pBdr/>
        <w:tabs>
          <w:tab w:val="clear" w:leader="none" w:pos="360"/>
          <w:tab w:val="num" w:leader="none" w:pos="720"/>
        </w:tabs>
        <w:spacing w:after="0" w:before="0" w:line="240" w:lineRule="auto"/>
        <w:ind w:right="0" w:hanging="333" w:left="1053"/>
        <w:rPr>
          <w:sz w:val="22"/>
          <w:szCs w:val="20"/>
        </w:rPr>
      </w:pP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numbered </w:t>
      </w:r>
      <w:r>
        <w:rPr>
          <w:sz w:val="22"/>
          <w:szCs w:val="20"/>
        </w:rPr>
        <w:t xml:space="preserve">lists within lists can be </w:t>
      </w:r>
      <w:r>
        <w:rPr>
          <w:sz w:val="22"/>
          <w:szCs w:val="20"/>
        </w:rPr>
        <w:t xml:space="preserve">listed</w:t>
      </w:r>
      <w:r>
        <w:rPr>
          <w:sz w:val="22"/>
          <w:szCs w:val="20"/>
        </w:rPr>
        <w:t xml:space="preserve"> with lowercase alphabets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8"/>
        <w:pBdr/>
        <w:tabs>
          <w:tab w:val="num" w:leader="none" w:pos="720"/>
        </w:tabs>
        <w:spacing w:after="0" w:before="0" w:line="240" w:lineRule="auto"/>
        <w:ind w:right="0" w:hanging="333" w:left="1053"/>
        <w:rPr>
          <w:sz w:val="22"/>
          <w:szCs w:val="20"/>
        </w:rPr>
      </w:pP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second item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89"/>
        <w:numPr>
          <w:ilvl w:val="0"/>
          <w:numId w:val="24"/>
        </w:numPr>
        <w:pBdr/>
        <w:spacing w:after="0" w:before="0" w:line="240" w:lineRule="auto"/>
        <w:ind w:right="0"/>
        <w:rPr>
          <w:sz w:val="22"/>
        </w:rPr>
      </w:pPr>
      <w:r>
        <w:rPr>
          <w:sz w:val="22"/>
        </w:rPr>
        <w:t xml:space="preserve"> I</w:t>
      </w:r>
      <w:r>
        <w:rPr>
          <w:sz w:val="22"/>
        </w:rPr>
        <w:t xml:space="preserve">tem </w:t>
      </w:r>
      <w:r>
        <w:rPr>
          <w:sz w:val="22"/>
        </w:rPr>
        <w:t xml:space="preserve">two</w:t>
      </w:r>
      <w:r>
        <w:rPr>
          <w:sz w:val="22"/>
        </w:rPr>
      </w:r>
      <w:r>
        <w:rPr>
          <w:sz w:val="22"/>
        </w:rPr>
      </w:r>
    </w:p>
    <w:p>
      <w:pPr>
        <w:pStyle w:val="1274"/>
        <w:pBdr/>
        <w:spacing w:after="120" w:line="240" w:lineRule="auto"/>
        <w:ind w:right="0" w:hanging="720" w:left="720"/>
        <w:rPr>
          <w:rFonts w:ascii="Times New Roman" w:hAnsi="Times New Roman" w:cs="Times New Roman"/>
          <w:i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4</w:t>
      </w:r>
      <w:r>
        <w:rPr>
          <w:rFonts w:ascii="Times New Roman" w:hAnsi="Times New Roman" w:cs="Times New Roman"/>
          <w:sz w:val="22"/>
          <w:szCs w:val="20"/>
        </w:rPr>
        <w:t xml:space="preserve">.1.4    </w:t>
      </w:r>
      <w:r>
        <w:rPr>
          <w:rFonts w:ascii="Times New Roman" w:hAnsi="Times New Roman" w:cs="Times New Roman"/>
          <w:i/>
          <w:sz w:val="22"/>
          <w:szCs w:val="20"/>
        </w:rPr>
        <w:t xml:space="preserve">Equations</w:t>
      </w:r>
      <w:r>
        <w:rPr>
          <w:rFonts w:ascii="Times New Roman" w:hAnsi="Times New Roman" w:cs="Times New Roman"/>
          <w:i/>
          <w:sz w:val="22"/>
          <w:szCs w:val="20"/>
        </w:rPr>
      </w:r>
      <w:r>
        <w:rPr>
          <w:rFonts w:ascii="Times New Roman" w:hAnsi="Times New Roman" w:cs="Times New Roman"/>
          <w:i/>
          <w:sz w:val="22"/>
          <w:szCs w:val="20"/>
        </w:rPr>
      </w:r>
    </w:p>
    <w:p>
      <w:pPr>
        <w:pStyle w:val="1290"/>
        <w:pBdr/>
        <w:spacing w:after="0" w:before="0" w:line="240" w:lineRule="auto"/>
        <w:ind w:right="0" w:firstLine="0"/>
        <w:rPr>
          <w:sz w:val="22"/>
        </w:rPr>
      </w:pPr>
      <w:r>
        <w:rPr>
          <w:sz w:val="22"/>
        </w:rPr>
        <w:t xml:space="preserve">The equations are typeset in 10pt size, centered.  Equation numbers must appear right aligned with open and closed parentheses</w:t>
      </w:r>
      <w:r>
        <w:rPr>
          <w:sz w:val="22"/>
        </w:rPr>
        <w:t xml:space="preserve"> without the abbreviation Eq. included—</w:t>
      </w:r>
      <w:r>
        <w:rPr>
          <w:sz w:val="22"/>
        </w:rPr>
        <w:t xml:space="preserve">see</w:t>
      </w:r>
      <w:r>
        <w:rPr>
          <w:sz w:val="22"/>
        </w:rPr>
        <w:t xml:space="preserve"> fo</w:t>
      </w:r>
      <w:r>
        <w:rPr>
          <w:sz w:val="22"/>
        </w:rPr>
        <w:t xml:space="preserve">r example</w:t>
      </w:r>
      <w:r>
        <w:rPr>
          <w:sz w:val="22"/>
        </w:rPr>
        <w:t xml:space="preserve"> Eq. (1)</w:t>
      </w:r>
      <w:r>
        <w:rPr>
          <w:sz w:val="22"/>
        </w:rPr>
        <w:t xml:space="preserve"> below</w:t>
      </w:r>
      <w:r>
        <w:rPr>
          <w:sz w:val="22"/>
        </w:rPr>
        <w:t xml:space="preserve">.  In MathType please set the font size to </w:t>
      </w:r>
      <w:r>
        <w:rPr>
          <w:color w:val="0000ff"/>
          <w:sz w:val="22"/>
        </w:rPr>
        <w:t xml:space="preserve">10pt </w:t>
      </w:r>
      <w:r>
        <w:rPr>
          <w:sz w:val="22"/>
        </w:rPr>
        <w:t xml:space="preserve">by selecting the MathType menu “Size” &gt; “Define”.  When the “Define Sizes” dialog appears, set the value for “Full” as 10pt.</w:t>
      </w:r>
      <w:r>
        <w:rPr>
          <w:sz w:val="22"/>
        </w:rPr>
        <w:t xml:space="preserve">  </w:t>
      </w:r>
      <w:r>
        <w:rPr>
          <w:sz w:val="22"/>
        </w:rPr>
        <w:t xml:space="preserve">Equations should be referred to </w:t>
      </w:r>
      <w:r>
        <w:rPr>
          <w:sz w:val="22"/>
        </w:rPr>
        <w:t xml:space="preserve">with</w:t>
      </w:r>
      <w:r>
        <w:rPr>
          <w:sz w:val="22"/>
        </w:rPr>
        <w:t xml:space="preserve">in the</w:t>
      </w:r>
      <w:r>
        <w:rPr>
          <w:sz w:val="22"/>
        </w:rPr>
        <w:t xml:space="preserve"> body</w:t>
      </w:r>
      <w:r>
        <w:rPr>
          <w:sz w:val="22"/>
        </w:rPr>
        <w:t xml:space="preserve"> text in abbreviated form, e.g.</w:t>
      </w:r>
      <w:r>
        <w:rPr>
          <w:sz w:val="22"/>
        </w:rPr>
        <w:t xml:space="preserve">,</w:t>
      </w:r>
      <w:r>
        <w:rPr>
          <w:sz w:val="22"/>
        </w:rPr>
        <w:t xml:space="preserve"> Eq. (1) or Eq. (2). </w:t>
      </w:r>
      <w:r>
        <w:rPr>
          <w:sz w:val="22"/>
        </w:rPr>
        <w:t xml:space="preserve"> </w:t>
      </w:r>
      <w:r>
        <w:rPr>
          <w:sz w:val="22"/>
        </w:rPr>
        <w:t xml:space="preserve">Displayed equations are to be centered on the page measure and have </w:t>
      </w:r>
      <w:r>
        <w:rPr>
          <w:color w:val="0000ff"/>
          <w:sz w:val="22"/>
        </w:rPr>
        <w:t xml:space="preserve">8pt empty space above and below the equations</w:t>
      </w:r>
      <w:r>
        <w:rPr>
          <w:sz w:val="22"/>
        </w:rPr>
        <w:t xml:space="preserve">.  Displayed equations should be numb</w:t>
      </w:r>
      <w:r>
        <w:rPr>
          <w:sz w:val="22"/>
        </w:rPr>
        <w:t xml:space="preserve">ered consecutively in the paper</w:t>
      </w:r>
      <w:r>
        <w:rPr>
          <w:sz w:val="22"/>
        </w:rPr>
        <w:t xml:space="preserve">:</w:t>
      </w:r>
      <w:r>
        <w:rPr>
          <w:sz w:val="22"/>
        </w:rPr>
      </w:r>
      <w:r>
        <w:rPr>
          <w:sz w:val="22"/>
        </w:rPr>
      </w:r>
    </w:p>
    <w:p>
      <w:pPr>
        <w:pStyle w:val="1271"/>
        <w:pBdr/>
        <w:spacing w:after="160" w:before="160" w:line="240" w:lineRule="auto"/>
        <w:ind w:right="0"/>
        <w:jc w:val="right"/>
        <w:rPr>
          <w:sz w:val="20"/>
          <w:szCs w:val="20"/>
        </w:rPr>
      </w:pPr>
      <w:r>
        <w:rPr>
          <w:position w:val="-38"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81823" cy="531240"/>
                <wp:effectExtent l="0" t="0" r="0" b="0"/>
                <wp:docPr id="5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21">
                          <a:extLst>
                            <a:ext uri="{96DAC541-7B7A-43D3-8B79-37D633B846F1}">
                              <asvg:svgBlip xmlns:asvg="http://schemas.microsoft.com/office/drawing/2016/SVG/main" r:embed="rId2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781823" cy="531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40.30pt;height:41.83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sz w:val="20"/>
          <w:szCs w:val="20"/>
        </w:rPr>
        <w:t xml:space="preserve">          (1)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90"/>
        <w:pBdr/>
        <w:spacing w:after="0" w:before="0" w:line="240" w:lineRule="auto"/>
        <w:ind w:right="0"/>
        <w:rPr>
          <w:sz w:val="22"/>
        </w:rPr>
      </w:pPr>
      <w:r>
        <w:rPr>
          <w:sz w:val="22"/>
        </w:rPr>
        <w:t xml:space="preserve">Conventional symbols should be adopted and used consistently. There is no constraint on use of units.  </w:t>
      </w:r>
      <w:r>
        <w:rPr>
          <w:sz w:val="22"/>
        </w:rPr>
        <w:t xml:space="preserve">I</w:t>
      </w:r>
      <w:r>
        <w:rPr>
          <w:sz w:val="22"/>
        </w:rPr>
        <w:t xml:space="preserve">f they are used as mathematical symbols</w:t>
      </w:r>
      <w:r>
        <w:rPr>
          <w:sz w:val="22"/>
        </w:rPr>
        <w:t xml:space="preserve">, s</w:t>
      </w:r>
      <w:r>
        <w:rPr>
          <w:sz w:val="22"/>
        </w:rPr>
        <w:t xml:space="preserve">tandard English letters like x are to appear as </w:t>
      </w:r>
      <w:r>
        <w:rPr>
          <w:i/>
          <w:sz w:val="22"/>
        </w:rPr>
        <w:t xml:space="preserve">x</w:t>
      </w:r>
      <w:r>
        <w:rPr>
          <w:sz w:val="22"/>
        </w:rPr>
        <w:t xml:space="preserve"> (italicized) in the text. </w:t>
      </w:r>
      <w:r>
        <w:rPr>
          <w:sz w:val="22"/>
        </w:rPr>
      </w:r>
      <w:r>
        <w:rPr>
          <w:sz w:val="22"/>
        </w:rPr>
      </w:r>
    </w:p>
    <w:p>
      <w:pPr>
        <w:pStyle w:val="1290"/>
        <w:pBdr/>
        <w:spacing w:after="0" w:before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72"/>
        <w:numPr>
          <w:ilvl w:val="0"/>
          <w:numId w:val="28"/>
        </w:numPr>
        <w:pBdr/>
        <w:tabs>
          <w:tab w:val="left" w:leader="none" w:pos="360"/>
        </w:tabs>
        <w:spacing w:before="0" w:line="240" w:lineRule="auto"/>
        <w:ind w:right="0" w:left="360"/>
        <w:rPr>
          <w:sz w:val="22"/>
          <w:szCs w:val="20"/>
        </w:rPr>
      </w:pP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FIGURES AND PHOTOGRAPHS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90"/>
        <w:pBdr/>
        <w:spacing w:after="0" w:before="0" w:line="240" w:lineRule="auto"/>
        <w:ind w:right="0" w:firstLine="0"/>
        <w:rPr>
          <w:sz w:val="22"/>
        </w:rPr>
      </w:pPr>
      <w:r>
        <w:rPr>
          <w:sz w:val="22"/>
        </w:rPr>
        <w:t xml:space="preserve">Figures are to be inserted into the text nearest its first </w:t>
      </w:r>
      <w:r>
        <w:rPr>
          <w:sz w:val="22"/>
        </w:rPr>
        <w:t xml:space="preserve">reference</w:t>
      </w:r>
      <w:r>
        <w:rPr>
          <w:sz w:val="22"/>
        </w:rPr>
        <w:t xml:space="preserve"> and</w:t>
      </w:r>
      <w:r>
        <w:rPr>
          <w:sz w:val="22"/>
        </w:rPr>
        <w:t xml:space="preserve"> must be referred to within the body of the text preferably before the figure appears</w:t>
      </w:r>
      <w:r>
        <w:rPr>
          <w:sz w:val="22"/>
        </w:rPr>
        <w:t xml:space="preserve">.  The text in the figures should be reasonably readable</w:t>
      </w:r>
      <w:r>
        <w:rPr>
          <w:sz w:val="22"/>
        </w:rPr>
        <w:t xml:space="preserve">, </w:t>
      </w:r>
      <w:r>
        <w:rPr>
          <w:color w:val="0000ff"/>
          <w:sz w:val="22"/>
        </w:rPr>
        <w:t xml:space="preserve">no smaller than </w:t>
      </w:r>
      <w:r>
        <w:rPr>
          <w:color w:val="0000ff"/>
          <w:sz w:val="22"/>
        </w:rPr>
        <w:t xml:space="preserve">9pt,</w:t>
      </w:r>
      <w:r>
        <w:rPr>
          <w:sz w:val="22"/>
        </w:rPr>
        <w:t xml:space="preserve"> and preferably in Times New Roman</w:t>
      </w:r>
      <w:r>
        <w:rPr>
          <w:sz w:val="22"/>
        </w:rPr>
        <w:t xml:space="preserve">.  </w:t>
      </w:r>
      <w:r>
        <w:rPr>
          <w:color w:val="0000ff"/>
          <w:sz w:val="22"/>
        </w:rPr>
        <w:t xml:space="preserve">Figure captions go below the figure in 10pt Times New Roman.</w:t>
      </w:r>
      <w:r>
        <w:rPr>
          <w:sz w:val="22"/>
        </w:rPr>
        <w:t xml:space="preserve">  </w:t>
      </w:r>
      <w:r>
        <w:rPr>
          <w:sz w:val="22"/>
        </w:rPr>
        <w:t xml:space="preserve">Please ensure that the figure is contained within the margins of the manuscript.  </w:t>
      </w:r>
      <w:r>
        <w:rPr>
          <w:sz w:val="22"/>
        </w:rPr>
        <w:t xml:space="preserve">The use of colors is permitted. </w:t>
      </w:r>
      <w:r>
        <w:rPr>
          <w:sz w:val="22"/>
        </w:rPr>
        <w:t xml:space="preserve">See Fig</w:t>
      </w:r>
      <w:r>
        <w:rPr>
          <w:sz w:val="22"/>
        </w:rPr>
        <w:t xml:space="preserve">.</w:t>
      </w:r>
      <w:r>
        <w:rPr>
          <w:sz w:val="22"/>
        </w:rPr>
        <w:t xml:space="preserve"> 1 for an example.  </w:t>
      </w:r>
      <w:r>
        <w:rPr>
          <w:sz w:val="22"/>
        </w:rPr>
      </w:r>
      <w:r>
        <w:rPr>
          <w:sz w:val="22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  <w:szCs w:val="22"/>
        </w:rPr>
      </w:pPr>
      <w:r>
        <w:rPr>
          <w:sz w:val="22"/>
        </w:rPr>
        <w:t xml:space="preserve">Do not put the figure caption in bold or italics.  </w:t>
      </w:r>
      <w:r>
        <w:rPr>
          <w:color w:val="0000ff"/>
          <w:sz w:val="22"/>
        </w:rPr>
        <w:t xml:space="preserve">Leave one line space before </w:t>
      </w:r>
      <w:r>
        <w:rPr>
          <w:color w:val="0000ff"/>
          <w:sz w:val="22"/>
        </w:rPr>
        <w:t xml:space="preserve">the figure </w:t>
      </w:r>
      <w:r>
        <w:rPr>
          <w:color w:val="0000ff"/>
          <w:sz w:val="22"/>
        </w:rPr>
        <w:t xml:space="preserve">and after the figure caption.  Leave </w:t>
      </w:r>
      <w:r>
        <w:rPr>
          <w:color w:val="0000ff"/>
          <w:sz w:val="22"/>
        </w:rPr>
        <w:t xml:space="preserve">10pt</w:t>
      </w:r>
      <w:r>
        <w:rPr>
          <w:color w:val="0000ff"/>
          <w:sz w:val="22"/>
        </w:rPr>
        <w:t xml:space="preserve"> space between the </w:t>
      </w:r>
      <w:r>
        <w:rPr>
          <w:color w:val="0000ff"/>
          <w:sz w:val="22"/>
        </w:rPr>
        <w:t xml:space="preserve">figure and the caption</w:t>
      </w:r>
      <w:r>
        <w:rPr>
          <w:color w:val="0000ff"/>
          <w:sz w:val="22"/>
        </w:rPr>
        <w:t xml:space="preserve">.  </w:t>
      </w:r>
      <w:r>
        <w:rPr>
          <w:sz w:val="22"/>
        </w:rPr>
        <w:t xml:space="preserve">Figures must be anchored to move with the text</w:t>
      </w:r>
      <w:r>
        <w:rPr>
          <w:sz w:val="22"/>
        </w:rPr>
        <w:t xml:space="preserve"> (please set its wrapping style to be “in lin</w:t>
      </w:r>
      <w:r>
        <w:rPr>
          <w:sz w:val="22"/>
        </w:rPr>
        <w:t xml:space="preserve">e with text”)</w:t>
      </w:r>
      <w:r>
        <w:rPr>
          <w:sz w:val="22"/>
        </w:rPr>
        <w:t xml:space="preserve"> and be sequentially numbered in Arabic numerals.  </w:t>
      </w:r>
      <w:r>
        <w:rPr>
          <w:sz w:val="22"/>
        </w:rPr>
        <w:t xml:space="preserve">Do not make figures within text boxes.  Figures and captions should be separate objects.  Do not wrap text around figures.  Figures can be placed side-by-side in the same horizontal line.  </w:t>
      </w:r>
      <w:r>
        <w:rPr>
          <w:sz w:val="22"/>
          <w:szCs w:val="22"/>
        </w:rPr>
        <w:t xml:space="preserve">The figure caption should end with a period.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290"/>
        <w:pBdr/>
        <w:spacing w:after="0" w:before="0" w:line="240" w:lineRule="auto"/>
        <w:ind w:right="0" w:firstLine="0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556445" cy="1978152"/>
                <wp:effectExtent l="0" t="0" r="0" b="0"/>
                <wp:docPr id="6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556445" cy="19781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280.04pt;height:155.76pt;mso-wrap-distance-left:0.00pt;mso-wrap-distance-top:0.00pt;mso-wrap-distance-right:0.00pt;mso-wrap-distance-bottom:0.00pt;z-index:1;" stroked="false">
                <v:imagedata r:id="rId23" o:title=""/>
                <o:lock v:ext="edit" rotation="t"/>
              </v:shape>
            </w:pict>
          </mc:Fallback>
        </mc:AlternateContent>
      </w:r>
      <w:r/>
    </w:p>
    <w:p>
      <w:pPr>
        <w:pStyle w:val="1290"/>
        <w:pBdr/>
        <w:spacing w:after="0" w:before="0" w:line="240" w:lineRule="auto"/>
        <w:ind w:right="0" w:firstLine="0"/>
        <w:jc w:val="center"/>
        <w:rPr>
          <w:szCs w:val="18"/>
        </w:rPr>
      </w:pPr>
      <w:r>
        <w:rPr>
          <w:szCs w:val="18"/>
        </w:rPr>
      </w:r>
      <w:r>
        <w:rPr>
          <w:szCs w:val="18"/>
        </w:rPr>
      </w:r>
      <w:r>
        <w:rPr>
          <w:szCs w:val="18"/>
        </w:rPr>
      </w:r>
    </w:p>
    <w:p>
      <w:pPr>
        <w:pStyle w:val="1290"/>
        <w:pBdr/>
        <w:spacing w:after="0" w:before="0" w:line="240" w:lineRule="auto"/>
        <w:ind w:right="0" w:firstLine="0"/>
        <w:jc w:val="center"/>
        <w:rPr>
          <w:szCs w:val="18"/>
        </w:rPr>
      </w:pPr>
      <w:r>
        <w:t xml:space="preserve">Fi</w:t>
      </w:r>
      <w:r>
        <w:t xml:space="preserve">g.</w:t>
      </w:r>
      <w:r>
        <w:t xml:space="preserve"> 1.  This is the caption for the above Figure in font 10pt.  The caption must be centered.</w:t>
      </w:r>
      <w:r>
        <w:rPr>
          <w:szCs w:val="18"/>
        </w:rPr>
      </w:r>
      <w:r>
        <w:rPr>
          <w:szCs w:val="18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</w:rPr>
      </w:pPr>
      <w:r>
        <w:rPr>
          <w:sz w:val="22"/>
        </w:rPr>
        <w:t xml:space="preserve">All authors must testify that their tables and figures are their own works. </w:t>
      </w:r>
      <w:r>
        <w:rPr>
          <w:sz w:val="22"/>
        </w:rPr>
        <w:t xml:space="preserve"> </w:t>
      </w:r>
      <w:r>
        <w:rPr>
          <w:sz w:val="22"/>
          <w:u w:val="single"/>
        </w:rPr>
        <w:t xml:space="preserve">Previously published</w:t>
      </w:r>
      <w:r>
        <w:rPr>
          <w:sz w:val="22"/>
          <w:u w:val="single"/>
        </w:rPr>
        <w:t xml:space="preserve"> figures must be accompanied with written permission from the author and publisher and cited accordingly in your submission.</w:t>
      </w:r>
      <w:r>
        <w:rPr>
          <w:sz w:val="22"/>
        </w:rPr>
      </w:r>
      <w:r>
        <w:rPr>
          <w:sz w:val="22"/>
        </w:rPr>
      </w:r>
    </w:p>
    <w:p>
      <w:pPr>
        <w:pStyle w:val="1292"/>
        <w:pBdr/>
        <w:spacing w:after="0" w:before="0" w:line="220" w:lineRule="exact"/>
        <w:ind w:right="0" w:firstLine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</w:p>
    <w:p>
      <w:pPr>
        <w:pStyle w:val="1272"/>
        <w:numPr>
          <w:ilvl w:val="0"/>
          <w:numId w:val="28"/>
        </w:numPr>
        <w:pBdr/>
        <w:tabs>
          <w:tab w:val="left" w:leader="none" w:pos="360"/>
        </w:tabs>
        <w:spacing w:before="0" w:line="240" w:lineRule="auto"/>
        <w:ind w:right="0" w:left="360"/>
        <w:rPr>
          <w:sz w:val="22"/>
          <w:szCs w:val="22"/>
        </w:rPr>
      </w:pPr>
      <w:r>
        <w:rPr>
          <w:sz w:val="22"/>
          <w:szCs w:val="22"/>
        </w:rPr>
        <w:t xml:space="preserve">TABLES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0"/>
        <w:pBdr/>
        <w:spacing w:after="0" w:before="0" w:line="240" w:lineRule="auto"/>
        <w:ind w:right="0" w:firstLine="0"/>
        <w:rPr>
          <w:sz w:val="22"/>
          <w:szCs w:val="22"/>
        </w:rPr>
      </w:pPr>
      <w:r>
        <w:rPr>
          <w:sz w:val="22"/>
          <w:szCs w:val="22"/>
        </w:rPr>
        <w:t xml:space="preserve">Tables should be numbered sequ</w:t>
      </w:r>
      <w:r>
        <w:rPr>
          <w:sz w:val="22"/>
          <w:szCs w:val="22"/>
        </w:rPr>
        <w:t xml:space="preserve">entially in the text.  </w:t>
      </w:r>
      <w:r>
        <w:rPr>
          <w:sz w:val="22"/>
          <w:szCs w:val="22"/>
        </w:rPr>
        <w:t xml:space="preserve">Captions are to be centered above the tables</w:t>
      </w:r>
      <w:r>
        <w:rPr>
          <w:sz w:val="22"/>
          <w:szCs w:val="22"/>
        </w:rPr>
        <w:t xml:space="preserve">.  </w:t>
      </w:r>
      <w:r>
        <w:rPr>
          <w:sz w:val="22"/>
          <w:szCs w:val="22"/>
        </w:rPr>
        <w:t xml:space="preserve">Tables should be inserted in the text as close to the </w:t>
      </w:r>
      <w:r>
        <w:rPr>
          <w:sz w:val="22"/>
          <w:szCs w:val="22"/>
        </w:rPr>
        <w:t xml:space="preserve">point of reference as possible</w:t>
      </w:r>
      <w:r>
        <w:rPr>
          <w:sz w:val="22"/>
          <w:szCs w:val="22"/>
        </w:rPr>
        <w:t xml:space="preserve">.  </w:t>
      </w:r>
      <w:r>
        <w:rPr>
          <w:color w:val="0000ff"/>
          <w:sz w:val="22"/>
          <w:szCs w:val="22"/>
        </w:rPr>
        <w:t xml:space="preserve">One line space should be left above and below the table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</w:t>
      </w:r>
      <w:r>
        <w:rPr>
          <w:sz w:val="22"/>
          <w:szCs w:val="22"/>
        </w:rPr>
        <w:t xml:space="preserve">lso keep one line space after the text and </w:t>
      </w:r>
      <w:r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start of the Table caption.</w:t>
      </w:r>
      <w:r>
        <w:rPr>
          <w:sz w:val="22"/>
          <w:szCs w:val="22"/>
        </w:rPr>
        <w:t xml:space="preserve">  The table caption should end with a period.</w:t>
      </w:r>
      <w:r>
        <w:rPr>
          <w:sz w:val="22"/>
          <w:szCs w:val="22"/>
        </w:rPr>
        <w:t xml:space="preserve">  See Table 1 for an example.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0"/>
        <w:pBdr/>
        <w:spacing w:after="0" w:before="0" w:line="240" w:lineRule="auto"/>
        <w:ind w:right="0" w:firstLine="35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pBdr/>
        <w:spacing w:after="0" w:before="0"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Table 1.  This is the caption for this Table in font 10pt.  The caption must be centered.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94"/>
        <w:pBdr/>
        <w:spacing w:after="0" w:before="0" w:line="240" w:lineRule="auto"/>
        <w:ind w:right="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596"/>
        <w:gridCol w:w="1661"/>
        <w:gridCol w:w="1601"/>
        <w:gridCol w:w="1046"/>
      </w:tblGrid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Year </w:t>
            </w:r>
            <w:r>
              <w:rPr>
                <w:b/>
                <w:sz w:val="18"/>
                <w:szCs w:val="20"/>
              </w:rPr>
            </w:r>
            <w:r>
              <w:rPr>
                <w:b/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Height of Dam (m)</w:t>
            </w:r>
            <w:r>
              <w:rPr>
                <w:b/>
                <w:sz w:val="18"/>
                <w:szCs w:val="20"/>
              </w:rPr>
            </w:r>
            <w:r>
              <w:rPr>
                <w:b/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Width of base (m)</w:t>
            </w:r>
            <w:r>
              <w:rPr>
                <w:b/>
                <w:sz w:val="18"/>
                <w:szCs w:val="20"/>
              </w:rPr>
            </w:r>
            <w:r>
              <w:rPr>
                <w:b/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Comments</w:t>
            </w:r>
            <w:r>
              <w:rPr>
                <w:b/>
                <w:sz w:val="18"/>
                <w:szCs w:val="20"/>
              </w:rPr>
            </w:r>
            <w:r>
              <w:rPr>
                <w:b/>
                <w:sz w:val="18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1200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10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50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-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</w:tr>
      <w:tr>
        <w:trPr/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1625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17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90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-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</w:tr>
      <w:tr>
        <w:trPr/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1865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25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119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/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-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</w:tr>
      <w:tr>
        <w:trPr>
          <w:trHeight w:val="74"/>
        </w:trPr>
        <w:tc>
          <w:tcPr>
            <w:tcBorders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2006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39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155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top"/>
            <w:textDirection w:val="lrTb"/>
          </w:tcPr>
          <w:p>
            <w:pPr>
              <w:pStyle w:val="1294"/>
              <w:pBdr/>
              <w:tabs>
                <w:tab w:val="left" w:leader="none" w:pos="1320"/>
                <w:tab w:val="left" w:leader="none" w:pos="2520"/>
              </w:tabs>
              <w:spacing w:after="0" w:before="0" w:line="240" w:lineRule="auto"/>
              <w:ind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-</w: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</w:r>
          </w:p>
        </w:tc>
      </w:tr>
    </w:tbl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  <w:szCs w:val="22"/>
        </w:rPr>
      </w:pPr>
      <w:r>
        <w:rPr>
          <w:sz w:val="22"/>
          <w:szCs w:val="22"/>
        </w:rPr>
        <w:t xml:space="preserve">Table captions must be in </w:t>
      </w:r>
      <w:r>
        <w:rPr>
          <w:color w:val="0000ff"/>
          <w:sz w:val="22"/>
          <w:szCs w:val="22"/>
        </w:rPr>
        <w:t xml:space="preserve">10pt Times New Roman.</w:t>
      </w:r>
      <w:r>
        <w:rPr>
          <w:sz w:val="22"/>
          <w:szCs w:val="22"/>
        </w:rPr>
        <w:t xml:space="preserve">  If tables need to extend over to a second page </w:t>
      </w:r>
      <w:r>
        <w:rPr>
          <w:sz w:val="22"/>
          <w:szCs w:val="22"/>
        </w:rPr>
        <w:t xml:space="preserve">or column, the continuation of the table should be preceded by a caption, e.g.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“</w:t>
      </w:r>
      <w:r>
        <w:rPr>
          <w:i/>
          <w:sz w:val="22"/>
          <w:szCs w:val="22"/>
        </w:rPr>
        <w:t xml:space="preserve">Table 1 </w:t>
      </w:r>
      <w:r>
        <w:rPr>
          <w:sz w:val="22"/>
          <w:szCs w:val="22"/>
        </w:rPr>
        <w:t xml:space="preserve">(</w:t>
      </w:r>
      <w:r>
        <w:rPr>
          <w:i/>
          <w:sz w:val="22"/>
          <w:szCs w:val="22"/>
        </w:rPr>
        <w:t xml:space="preserve">contd</w:t>
      </w:r>
      <w:r>
        <w:rPr>
          <w:sz w:val="22"/>
          <w:szCs w:val="22"/>
        </w:rPr>
        <w:t xml:space="preserve">)”.  </w:t>
      </w:r>
      <w:r>
        <w:rPr>
          <w:color w:val="0000ff"/>
          <w:sz w:val="22"/>
          <w:szCs w:val="22"/>
        </w:rPr>
        <w:t xml:space="preserve">The text inside tables should not be less than 9pt.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Large</w:t>
      </w:r>
      <w:r>
        <w:rPr>
          <w:sz w:val="22"/>
          <w:szCs w:val="22"/>
        </w:rPr>
        <w:t xml:space="preserve"> sized tables may span across both c</w:t>
      </w:r>
      <w:r>
        <w:rPr>
          <w:sz w:val="22"/>
          <w:szCs w:val="22"/>
        </w:rPr>
        <w:t xml:space="preserve">olumns. </w:t>
      </w:r>
      <w:r>
        <w:rPr>
          <w:sz w:val="22"/>
          <w:szCs w:val="22"/>
        </w:rPr>
        <w:t xml:space="preserve">T</w:t>
      </w:r>
      <w:r>
        <w:rPr>
          <w:sz w:val="22"/>
          <w:szCs w:val="22"/>
        </w:rPr>
        <w:t xml:space="preserve">ables must be anchored to the text</w:t>
      </w:r>
      <w:r>
        <w:rPr>
          <w:sz w:val="22"/>
          <w:szCs w:val="22"/>
        </w:rPr>
        <w:t xml:space="preserve">.  </w:t>
      </w:r>
      <w:r>
        <w:rPr>
          <w:sz w:val="22"/>
        </w:rPr>
        <w:t xml:space="preserve">Further, please ensure that the table is contained within the margins of the manuscript.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294"/>
        <w:numPr>
          <w:ilvl w:val="0"/>
          <w:numId w:val="28"/>
        </w:numPr>
        <w:pBdr/>
        <w:tabs>
          <w:tab w:val="left" w:leader="none" w:pos="360"/>
          <w:tab w:val="left" w:leader="none" w:pos="2520"/>
        </w:tabs>
        <w:spacing w:before="0" w:line="240" w:lineRule="auto"/>
        <w:ind w:right="0" w:left="36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WHITE SPACE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Ensure there are no multiple lines of white space at the bottom of pages.  One or two lines may be tolerable to accommodate section headings, but not more.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numPr>
          <w:ilvl w:val="0"/>
          <w:numId w:val="27"/>
        </w:numPr>
        <w:pBdr/>
        <w:tabs>
          <w:tab w:val="left" w:leader="none" w:pos="360"/>
          <w:tab w:val="left" w:leader="none" w:pos="2520"/>
        </w:tabs>
        <w:spacing w:before="0" w:line="240" w:lineRule="auto"/>
        <w:ind w:right="0" w:left="360"/>
        <w:jc w:val="both"/>
        <w:rPr>
          <w:sz w:val="22"/>
          <w:szCs w:val="20"/>
        </w:rPr>
      </w:pPr>
      <w:r>
        <w:rPr>
          <w:b/>
          <w:sz w:val="22"/>
          <w:szCs w:val="22"/>
        </w:rPr>
        <w:t xml:space="preserve">PUBLICATION A</w:t>
      </w:r>
      <w:r>
        <w:rPr>
          <w:b/>
          <w:sz w:val="22"/>
          <w:szCs w:val="22"/>
        </w:rPr>
        <w:t xml:space="preserve">ND REGISTRATION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Each submission (up to </w:t>
      </w:r>
      <w:r>
        <w:rPr>
          <w:color w:val="0000ff"/>
          <w:sz w:val="22"/>
          <w:szCs w:val="22"/>
        </w:rPr>
        <w:t xml:space="preserve">two papers per author</w:t>
      </w:r>
      <w:r>
        <w:rPr>
          <w:sz w:val="22"/>
          <w:szCs w:val="22"/>
        </w:rPr>
        <w:t xml:space="preserve">) will require payment of </w:t>
      </w:r>
      <w:r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registration fee before the paper can be published in the conference proceedings.  Registration must be made online at the </w:t>
      </w:r>
      <w:r>
        <w:rPr>
          <w:sz w:val="22"/>
          <w:szCs w:val="22"/>
        </w:rPr>
        <w:t xml:space="preserve">ISEC</w:t>
      </w:r>
      <w:r>
        <w:rPr>
          <w:sz w:val="22"/>
          <w:szCs w:val="22"/>
        </w:rPr>
        <w:t xml:space="preserve"> website using a credit card or PayPal account.  Wire transfer, bank draft, and international money order facilities are also available</w:t>
      </w:r>
      <w:r>
        <w:rPr>
          <w:sz w:val="22"/>
          <w:szCs w:val="22"/>
        </w:rPr>
        <w:t xml:space="preserve">.  Fee discounts are available for early</w:t>
      </w:r>
      <w:r>
        <w:rPr>
          <w:sz w:val="22"/>
          <w:szCs w:val="22"/>
        </w:rPr>
        <w:t xml:space="preserve">-bird</w:t>
      </w:r>
      <w:r>
        <w:rPr>
          <w:sz w:val="22"/>
          <w:szCs w:val="22"/>
        </w:rPr>
        <w:t xml:space="preserve"> submissions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94"/>
        <w:numPr>
          <w:ilvl w:val="0"/>
          <w:numId w:val="27"/>
        </w:numPr>
        <w:pBdr/>
        <w:tabs>
          <w:tab w:val="left" w:leader="none" w:pos="360"/>
          <w:tab w:val="left" w:leader="none" w:pos="2520"/>
        </w:tabs>
        <w:spacing w:before="0" w:line="240" w:lineRule="auto"/>
        <w:ind w:right="0" w:left="360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MANUSCRIPT LENGTH</w:t>
      </w:r>
      <w:r>
        <w:rPr>
          <w:b/>
          <w:sz w:val="22"/>
          <w:szCs w:val="20"/>
        </w:rPr>
        <w:t xml:space="preserve">, </w:t>
      </w:r>
      <w:r>
        <w:rPr>
          <w:b/>
          <w:sz w:val="22"/>
          <w:szCs w:val="20"/>
        </w:rPr>
        <w:t xml:space="preserve">TITLE</w:t>
      </w:r>
      <w:r>
        <w:rPr>
          <w:b/>
          <w:sz w:val="22"/>
          <w:szCs w:val="20"/>
        </w:rPr>
        <w:t xml:space="preserve">, AND FOOTNOTES</w:t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both"/>
        <w:rPr>
          <w:sz w:val="22"/>
          <w:szCs w:val="20"/>
        </w:rPr>
      </w:pPr>
      <w:r>
        <w:rPr>
          <w:color w:val="0000ff"/>
          <w:sz w:val="22"/>
          <w:szCs w:val="20"/>
        </w:rPr>
        <w:t xml:space="preserve">The maximum number of pages permitted is</w:t>
      </w:r>
      <w:r>
        <w:rPr>
          <w:color w:val="ff0000"/>
          <w:sz w:val="22"/>
          <w:szCs w:val="20"/>
        </w:rPr>
        <w:t xml:space="preserve"> </w:t>
      </w:r>
      <w:r>
        <w:rPr>
          <w:b/>
          <w:bCs/>
          <w:color w:val="ff0000"/>
          <w:sz w:val="22"/>
          <w:szCs w:val="20"/>
        </w:rPr>
        <w:t xml:space="preserve">SIX</w:t>
      </w:r>
      <w:r>
        <w:rPr>
          <w:sz w:val="22"/>
          <w:szCs w:val="20"/>
        </w:rPr>
        <w:t xml:space="preserve">.  </w:t>
      </w:r>
      <w:r>
        <w:rPr>
          <w:sz w:val="22"/>
          <w:szCs w:val="20"/>
        </w:rPr>
        <w:t xml:space="preserve">The minimum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i</w:t>
      </w:r>
      <w:r>
        <w:rPr>
          <w:sz w:val="22"/>
          <w:szCs w:val="20"/>
        </w:rPr>
        <w:t xml:space="preserve">s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FOUR</w:t>
      </w:r>
      <w:r>
        <w:rPr>
          <w:sz w:val="22"/>
          <w:szCs w:val="20"/>
        </w:rPr>
        <w:t xml:space="preserve"> pages.  </w:t>
      </w:r>
      <w:r>
        <w:rPr>
          <w:sz w:val="22"/>
          <w:szCs w:val="20"/>
        </w:rPr>
        <w:t xml:space="preserve">If</w:t>
      </w:r>
      <w:r>
        <w:rPr>
          <w:sz w:val="22"/>
          <w:szCs w:val="20"/>
        </w:rPr>
        <w:t xml:space="preserve"> the manuscript is only </w:t>
      </w:r>
      <w:r>
        <w:rPr>
          <w:sz w:val="22"/>
          <w:szCs w:val="20"/>
        </w:rPr>
        <w:t xml:space="preserve">4</w:t>
      </w:r>
      <w:r>
        <w:rPr>
          <w:sz w:val="22"/>
          <w:szCs w:val="20"/>
        </w:rPr>
        <w:t xml:space="preserve"> pages, the </w:t>
      </w:r>
      <w:r>
        <w:rPr>
          <w:sz w:val="22"/>
          <w:szCs w:val="20"/>
        </w:rPr>
        <w:t xml:space="preserve">text</w:t>
      </w:r>
      <w:r>
        <w:rPr>
          <w:sz w:val="22"/>
          <w:szCs w:val="20"/>
        </w:rPr>
        <w:t xml:space="preserve"> should </w:t>
      </w:r>
      <w:r>
        <w:rPr>
          <w:sz w:val="22"/>
          <w:szCs w:val="20"/>
        </w:rPr>
        <w:t xml:space="preserve">be </w:t>
      </w:r>
      <w:r>
        <w:rPr>
          <w:sz w:val="22"/>
          <w:szCs w:val="20"/>
        </w:rPr>
        <w:t xml:space="preserve">more than 67% of the </w:t>
      </w:r>
      <w:r>
        <w:rPr>
          <w:sz w:val="22"/>
          <w:szCs w:val="20"/>
        </w:rPr>
        <w:t xml:space="preserve">fourth page.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If the manuscript carries over to more than 6 pages, during the copy-editing phase, the editors will shorten the manuscript by removing text.  The author accepts elimination of text to bring the manuscript to SIX </w:t>
      </w:r>
      <w:r>
        <w:rPr>
          <w:sz w:val="22"/>
          <w:szCs w:val="20"/>
        </w:rPr>
        <w:t xml:space="preserve">properly formatted</w:t>
      </w:r>
      <w:r>
        <w:rPr>
          <w:sz w:val="22"/>
          <w:szCs w:val="20"/>
        </w:rPr>
        <w:t xml:space="preserve"> pages.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90"/>
        <w:pBdr/>
        <w:spacing w:after="0" w:before="0" w:line="240" w:lineRule="auto"/>
        <w:ind w:right="0" w:firstLine="360"/>
        <w:rPr>
          <w:color w:val="000000"/>
          <w:sz w:val="22"/>
        </w:rPr>
      </w:pPr>
      <w:r>
        <w:rPr>
          <w:sz w:val="22"/>
        </w:rPr>
        <w:t xml:space="preserve">The </w:t>
      </w:r>
      <w:r>
        <w:rPr>
          <w:sz w:val="22"/>
          <w:szCs w:val="22"/>
        </w:rPr>
        <w:t xml:space="preserve">title</w:t>
      </w:r>
      <w:r>
        <w:rPr>
          <w:sz w:val="22"/>
        </w:rPr>
        <w:t xml:space="preserve"> should be less than 15 words in length.  All efforts are necessary to ensure that the title does NOT have a country/region</w:t>
      </w:r>
      <w:r>
        <w:rPr>
          <w:sz w:val="22"/>
        </w:rPr>
        <w:t xml:space="preserve">/city</w:t>
      </w:r>
      <w:r>
        <w:rPr>
          <w:sz w:val="22"/>
        </w:rPr>
        <w:t xml:space="preserve"> name as per ISEC editorial poli</w:t>
      </w:r>
      <w:r>
        <w:rPr>
          <w:sz w:val="22"/>
        </w:rPr>
        <w:t xml:space="preserve">cy.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sz w:val="22"/>
        </w:rPr>
        <w:t xml:space="preserve">If country names exist in the title, these may be deleted by the editors. </w:t>
      </w:r>
      <w:r>
        <w:rPr>
          <w:sz w:val="22"/>
        </w:rPr>
        <w:t xml:space="preserve"> </w:t>
      </w:r>
      <w:r>
        <w:rPr>
          <w:color w:val="000000"/>
          <w:sz w:val="22"/>
        </w:rPr>
        <w:t xml:space="preserve">The title should be the same or approximately the same as submitted to the conference.</w:t>
      </w:r>
      <w:r>
        <w:rPr>
          <w:color w:val="000000"/>
          <w:sz w:val="22"/>
        </w:rPr>
      </w:r>
      <w:r>
        <w:rPr>
          <w:color w:val="000000"/>
          <w:sz w:val="22"/>
        </w:rPr>
      </w:r>
    </w:p>
    <w:p>
      <w:pPr>
        <w:pStyle w:val="1272"/>
        <w:pBdr/>
        <w:tabs>
          <w:tab w:val="left" w:leader="none" w:pos="0"/>
        </w:tabs>
        <w:spacing w:after="0" w:before="0" w:line="240" w:lineRule="auto"/>
        <w:ind w:right="0"/>
        <w:rPr>
          <w:b w:val="0"/>
          <w:sz w:val="22"/>
          <w:szCs w:val="20"/>
        </w:rPr>
      </w:pPr>
      <w:r>
        <w:rPr>
          <w:b w:val="0"/>
          <w:sz w:val="22"/>
          <w:szCs w:val="20"/>
        </w:rPr>
        <w:tab/>
        <w:tab/>
        <w:tab/>
      </w:r>
      <w:r>
        <w:rPr>
          <w:b w:val="0"/>
          <w:sz w:val="22"/>
          <w:szCs w:val="20"/>
        </w:rPr>
        <w:t xml:space="preserve">Footnotes must be numbered sequentially; select footnotes at the bottom </w:t>
      </w:r>
      <w:r>
        <w:rPr>
          <w:b w:val="0"/>
          <w:sz w:val="22"/>
          <w:szCs w:val="20"/>
        </w:rPr>
        <w:t xml:space="preserve">of </w:t>
      </w:r>
      <w:r>
        <w:rPr>
          <w:b w:val="0"/>
          <w:sz w:val="22"/>
          <w:szCs w:val="20"/>
        </w:rPr>
        <w:t xml:space="preserve">the </w:t>
      </w:r>
      <w:r>
        <w:rPr>
          <w:b w:val="0"/>
          <w:sz w:val="22"/>
          <w:szCs w:val="20"/>
        </w:rPr>
        <w:t xml:space="preserve">page by going </w:t>
      </w:r>
      <w:r>
        <w:rPr>
          <w:b w:val="0"/>
          <w:i/>
          <w:sz w:val="22"/>
          <w:szCs w:val="20"/>
        </w:rPr>
        <w:t xml:space="preserve">Insert </w:t>
      </w:r>
      <w:r>
        <w:rPr>
          <w:rFonts w:ascii="Wingdings" w:hAnsi="Wingdings" w:eastAsia="Wingdings" w:cs="Wingdings"/>
          <w:b w:val="0"/>
          <w:i/>
          <w:sz w:val="22"/>
          <w:szCs w:val="20"/>
        </w:rPr>
        <w:t xml:space="preserve"></w:t>
      </w:r>
      <w:r>
        <w:rPr>
          <w:b w:val="0"/>
          <w:i/>
          <w:sz w:val="22"/>
          <w:szCs w:val="20"/>
        </w:rPr>
        <w:t xml:space="preserve"> Footnote</w:t>
      </w:r>
      <w:r>
        <w:rPr>
          <w:b w:val="0"/>
          <w:sz w:val="22"/>
          <w:szCs w:val="20"/>
        </w:rPr>
        <w:t xml:space="preserve"> in your MS-WORD software</w:t>
      </w:r>
      <w:r>
        <w:rPr>
          <w:b w:val="0"/>
          <w:sz w:val="22"/>
          <w:szCs w:val="20"/>
        </w:rPr>
        <w:t xml:space="preserve">.</w:t>
      </w:r>
      <w:r>
        <w:rPr>
          <w:rStyle w:val="1295"/>
          <w:b/>
          <w:sz w:val="22"/>
          <w:szCs w:val="20"/>
        </w:rPr>
        <w:footnoteReference w:id="2"/>
      </w:r>
      <w:r>
        <w:rPr>
          <w:b w:val="0"/>
          <w:sz w:val="22"/>
          <w:szCs w:val="20"/>
        </w:rPr>
        <w:t xml:space="preserve"> </w:t>
      </w:r>
      <w:r>
        <w:rPr>
          <w:b w:val="0"/>
          <w:sz w:val="22"/>
          <w:szCs w:val="20"/>
        </w:rPr>
      </w:r>
      <w:r>
        <w:rPr>
          <w:b w:val="0"/>
          <w:sz w:val="22"/>
          <w:szCs w:val="20"/>
        </w:rPr>
      </w:r>
    </w:p>
    <w:p>
      <w:pPr>
        <w:pStyle w:val="1290"/>
        <w:pBdr/>
        <w:spacing w:after="0" w:before="0" w:line="240" w:lineRule="auto"/>
        <w:ind w:right="0" w:firstLine="36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294"/>
        <w:numPr>
          <w:ilvl w:val="0"/>
          <w:numId w:val="27"/>
        </w:numPr>
        <w:pBdr/>
        <w:tabs>
          <w:tab w:val="left" w:leader="none" w:pos="360"/>
          <w:tab w:val="left" w:leader="none" w:pos="2520"/>
        </w:tabs>
        <w:spacing w:before="0" w:line="240" w:lineRule="auto"/>
        <w:ind w:right="0" w:left="360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MANUSCRIPT SUBMISSION</w:t>
      </w:r>
      <w:r>
        <w:rPr>
          <w:b/>
          <w:sz w:val="22"/>
          <w:szCs w:val="20"/>
        </w:rPr>
      </w:r>
      <w:r>
        <w:rPr>
          <w:b/>
          <w:sz w:val="22"/>
          <w:szCs w:val="20"/>
        </w:rPr>
      </w:r>
    </w:p>
    <w:p>
      <w:pPr>
        <w:pStyle w:val="1294"/>
        <w:pBdr/>
        <w:tabs>
          <w:tab w:val="left" w:leader="none" w:pos="1320"/>
          <w:tab w:val="left" w:leader="none" w:pos="2520"/>
        </w:tabs>
        <w:spacing w:after="0" w:before="0" w:line="240" w:lineRule="auto"/>
        <w:ind w:right="0"/>
        <w:jc w:val="both"/>
        <w:rPr>
          <w:sz w:val="18"/>
          <w:szCs w:val="20"/>
        </w:rPr>
      </w:pPr>
      <w:r>
        <w:rPr>
          <w:sz w:val="22"/>
          <w:szCs w:val="20"/>
        </w:rPr>
        <w:t xml:space="preserve">The manuscript must </w:t>
      </w:r>
      <w:r>
        <w:rPr>
          <w:sz w:val="22"/>
          <w:szCs w:val="20"/>
        </w:rPr>
        <w:t xml:space="preserve">be </w:t>
      </w:r>
      <w:r>
        <w:rPr>
          <w:sz w:val="22"/>
          <w:szCs w:val="20"/>
        </w:rPr>
        <w:t xml:space="preserve">uploaded to the </w:t>
      </w:r>
      <w:r>
        <w:rPr>
          <w:sz w:val="22"/>
          <w:szCs w:val="20"/>
        </w:rPr>
        <w:t xml:space="preserve">ISEC</w:t>
      </w:r>
      <w:r>
        <w:rPr>
          <w:sz w:val="22"/>
          <w:szCs w:val="20"/>
        </w:rPr>
        <w:t xml:space="preserve"> website at</w:t>
      </w:r>
      <w:r>
        <w:rPr>
          <w:sz w:val="22"/>
          <w:szCs w:val="20"/>
        </w:rPr>
        <w:t xml:space="preserve"> </w:t>
      </w:r>
      <w:r>
        <w:rPr>
          <w:sz w:val="22"/>
          <w:szCs w:val="20"/>
        </w:rPr>
        <w:fldChar w:fldCharType="begin"/>
      </w:r>
      <w:r>
        <w:rPr>
          <w:sz w:val="22"/>
          <w:szCs w:val="20"/>
        </w:rPr>
        <w:instrText xml:space="preserve">HYPERLINK "https://www.isec-society.org/EURO_MED_SEC_06/abstractsAndPapers/"</w:instrText>
      </w:r>
      <w:r>
        <w:rPr>
          <w:sz w:val="22"/>
          <w:szCs w:val="20"/>
        </w:rPr>
        <w:fldChar w:fldCharType="separate"/>
      </w:r>
      <w:r>
        <w:rPr>
          <w:rStyle w:val="1312"/>
          <w:sz w:val="22"/>
          <w:szCs w:val="20"/>
        </w:rPr>
        <w:t xml:space="preserve">https://www.isec-society.org/EUR</w:t>
      </w:r>
      <w:r>
        <w:rPr>
          <w:rStyle w:val="1312"/>
          <w:sz w:val="22"/>
          <w:szCs w:val="20"/>
        </w:rPr>
        <w:t xml:space="preserve">O_MED_SEC_06/</w:t>
      </w:r>
      <w:bookmarkStart w:id="0" w:name="_Hlt207542068"/>
      <w:r/>
      <w:bookmarkEnd w:id="0"/>
      <w:r>
        <w:rPr>
          <w:rStyle w:val="1312"/>
          <w:sz w:val="22"/>
          <w:szCs w:val="20"/>
        </w:rPr>
        <w:t xml:space="preserve">a</w:t>
      </w:r>
      <w:r>
        <w:rPr>
          <w:sz w:val="18"/>
          <w:szCs w:val="20"/>
        </w:rPr>
      </w:r>
      <w:r>
        <w:rPr>
          <w:sz w:val="18"/>
          <w:szCs w:val="20"/>
        </w:rPr>
      </w:r>
    </w:p>
    <w:p>
      <w:pPr>
        <w:pStyle w:val="1272"/>
        <w:pBdr/>
        <w:spacing w:after="0" w:before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72"/>
        <w:pBdr/>
        <w:spacing w:before="0" w:line="240" w:lineRule="auto"/>
        <w:ind w:right="0"/>
        <w:rPr>
          <w:szCs w:val="20"/>
        </w:rPr>
      </w:pPr>
      <w:r>
        <w:rPr>
          <w:szCs w:val="20"/>
        </w:rPr>
        <w:t xml:space="preserve">Acknowledgments</w:t>
      </w:r>
      <w:r>
        <w:rPr>
          <w:szCs w:val="20"/>
        </w:rPr>
      </w:r>
      <w:r>
        <w:rPr>
          <w:szCs w:val="20"/>
        </w:rPr>
      </w:r>
    </w:p>
    <w:p>
      <w:pPr>
        <w:pStyle w:val="1271"/>
        <w:pBdr/>
        <w:spacing w:after="0" w:before="0" w:line="220" w:lineRule="auto"/>
        <w:ind w:right="0"/>
        <w:contextualSpacing w:val="true"/>
        <w:rPr>
          <w:sz w:val="20"/>
          <w:szCs w:val="20"/>
        </w:rPr>
      </w:pPr>
      <w:r>
        <w:rPr>
          <w:sz w:val="20"/>
          <w:szCs w:val="20"/>
        </w:rPr>
        <w:t xml:space="preserve">This section and its hea</w:t>
      </w:r>
      <w:r>
        <w:rPr>
          <w:sz w:val="20"/>
          <w:szCs w:val="20"/>
        </w:rPr>
        <w:t xml:space="preserve">ding (unnumbered) should be in 10</w:t>
      </w:r>
      <w:r>
        <w:rPr>
          <w:sz w:val="20"/>
          <w:szCs w:val="20"/>
        </w:rPr>
        <w:t xml:space="preserve">pt and come before the appendices and references.  Dedication and funding information may also be included here.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2"/>
        <w:pBdr/>
        <w:spacing w:before="0"/>
        <w:ind w:right="0"/>
        <w:contextualSpacing w:val="true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272"/>
        <w:pBdr/>
        <w:spacing w:before="0"/>
        <w:ind w:right="0"/>
        <w:contextualSpacing w:val="true"/>
        <w:rPr>
          <w:sz w:val="22"/>
        </w:rPr>
      </w:pPr>
      <w:r>
        <w:rPr>
          <w:sz w:val="22"/>
        </w:rPr>
        <w:t xml:space="preserve">Appendix A</w:t>
      </w:r>
      <w:r>
        <w:rPr>
          <w:sz w:val="22"/>
        </w:rPr>
        <w:t xml:space="preserve">. The Relation Between </w:t>
      </w:r>
      <w:r>
        <w:rPr>
          <w:i/>
          <w:sz w:val="22"/>
        </w:rPr>
        <w:t xml:space="preserve">R </w:t>
      </w:r>
      <w:r>
        <w:rPr>
          <w:sz w:val="22"/>
        </w:rPr>
        <w:t xml:space="preserve">and </w:t>
      </w:r>
      <w:r>
        <w:rPr>
          <w:i/>
          <w:sz w:val="22"/>
        </w:rPr>
        <w:t xml:space="preserve">V</w:t>
      </w:r>
      <w:r>
        <w:rPr>
          <w:sz w:val="22"/>
        </w:rPr>
      </w:r>
      <w:r>
        <w:rPr>
          <w:sz w:val="22"/>
        </w:rPr>
      </w:r>
    </w:p>
    <w:p>
      <w:pPr>
        <w:pStyle w:val="1290"/>
        <w:pBdr/>
        <w:spacing w:after="0" w:before="0" w:line="240" w:lineRule="auto"/>
        <w:ind w:right="0" w:firstLine="0"/>
        <w:rPr>
          <w:sz w:val="22"/>
        </w:rPr>
      </w:pPr>
      <w:r>
        <w:rPr>
          <w:sz w:val="22"/>
        </w:rPr>
        <w:t xml:space="preserve">Appendices should be used only when </w:t>
      </w:r>
      <w:r>
        <w:rPr>
          <w:i/>
          <w:sz w:val="22"/>
        </w:rPr>
        <w:t xml:space="preserve">absolutely necessary</w:t>
      </w:r>
      <w:r>
        <w:rPr>
          <w:sz w:val="22"/>
        </w:rPr>
        <w:t xml:space="preserve">.  They </w:t>
      </w:r>
      <w:r>
        <w:rPr>
          <w:sz w:val="22"/>
        </w:rPr>
        <w:t xml:space="preserve">should come before the References.  If there is more than one appendix, label them alphabetically.  Number the displayed equations occurring in the Appendix in this way, e.g., (A.1), (A.2), etc.</w:t>
      </w:r>
      <w:r>
        <w:rPr>
          <w:sz w:val="22"/>
        </w:rPr>
      </w:r>
      <w:r>
        <w:rPr>
          <w:sz w:val="22"/>
        </w:rPr>
      </w:r>
    </w:p>
    <w:p>
      <w:pPr>
        <w:pStyle w:val="1271"/>
        <w:pBdr/>
        <w:tabs>
          <w:tab w:val="center" w:leader="none" w:pos="3600"/>
          <w:tab w:val="right" w:leader="none" w:pos="7200"/>
        </w:tabs>
        <w:spacing w:after="160" w:before="160" w:line="240" w:lineRule="auto"/>
        <w:ind w:right="0"/>
        <w:jc w:val="right"/>
        <w:rPr>
          <w:sz w:val="22"/>
          <w:szCs w:val="20"/>
        </w:rPr>
      </w:pPr>
      <w:r>
        <w:rPr>
          <w:position w:val="-26"/>
          <w:sz w:val="22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76459" cy="382779"/>
                <wp:effectExtent l="0" t="0" r="0" b="0"/>
                <wp:docPr id="7" name="_x0000_i10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24">
                          <a:extLst>
                            <a:ext uri="{96DAC541-7B7A-43D3-8B79-37D633B846F1}">
                              <asvg:svgBlip xmlns:asvg="http://schemas.microsoft.com/office/drawing/2016/SVG/main" r:embed="rId2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76459" cy="3827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76.89pt;height:30.14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sz w:val="22"/>
          <w:szCs w:val="22"/>
        </w:rPr>
        <w:t xml:space="preserve">.                      </w:t>
      </w:r>
      <w:r>
        <w:rPr>
          <w:sz w:val="22"/>
          <w:szCs w:val="20"/>
        </w:rPr>
        <w:tab/>
      </w:r>
      <w:r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(A.1)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1"/>
        <w:pBdr/>
        <w:tabs>
          <w:tab w:val="center" w:leader="none" w:pos="3600"/>
          <w:tab w:val="right" w:leader="none" w:pos="7200"/>
        </w:tabs>
        <w:spacing w:after="220" w:before="160" w:line="240" w:lineRule="auto"/>
        <w:ind w:right="0"/>
        <w:jc w:val="right"/>
        <w:rPr>
          <w:sz w:val="22"/>
          <w:szCs w:val="20"/>
        </w:rPr>
      </w:pPr>
      <w:r>
        <w:rPr>
          <w:position w:val="-38"/>
          <w:sz w:val="22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42275" cy="531523"/>
                <wp:effectExtent l="0" t="0" r="0" b="0"/>
                <wp:docPr id="8" name="_x0000_i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26">
                          <a:extLst>
                            <a:ext uri="{96DAC541-7B7A-43D3-8B79-37D633B846F1}">
                              <asvg:svgBlip xmlns:asvg="http://schemas.microsoft.com/office/drawing/2016/SVG/main" r:embed="rId2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742275" cy="53152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37.19pt;height:41.85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>
        <w:rPr>
          <w:sz w:val="22"/>
          <w:szCs w:val="20"/>
        </w:rPr>
        <w:tab/>
      </w:r>
      <w:r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(A.2)</w:t>
      </w:r>
      <w:r>
        <w:rPr>
          <w:sz w:val="22"/>
          <w:szCs w:val="20"/>
        </w:rPr>
      </w:r>
      <w:r>
        <w:rPr>
          <w:sz w:val="22"/>
          <w:szCs w:val="20"/>
        </w:rPr>
      </w:r>
    </w:p>
    <w:p>
      <w:pPr>
        <w:pStyle w:val="1272"/>
        <w:pBdr/>
        <w:spacing w:before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References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85"/>
        <w:pBdr/>
        <w:spacing w:after="0" w:before="0" w:line="240" w:lineRule="auto"/>
        <w:ind w:right="0"/>
        <w:rPr>
          <w:sz w:val="22"/>
          <w:szCs w:val="18"/>
        </w:rPr>
      </w:pPr>
      <w:r>
        <w:rPr>
          <w:sz w:val="22"/>
          <w:szCs w:val="18"/>
        </w:rPr>
        <w:t xml:space="preserve">References appear as a list at the end of the manuscript, while Citations refer to those References within the body of the manuscript.  </w:t>
      </w:r>
      <w:r>
        <w:rPr>
          <w:b/>
          <w:bCs/>
          <w:sz w:val="22"/>
          <w:szCs w:val="18"/>
          <w:u w:val="single"/>
        </w:rPr>
        <w:t xml:space="preserve">Any Reference </w:t>
      </w:r>
      <w:r>
        <w:rPr>
          <w:b/>
          <w:bCs/>
          <w:i/>
          <w:iCs/>
          <w:sz w:val="22"/>
          <w:szCs w:val="18"/>
          <w:u w:val="single"/>
        </w:rPr>
        <w:t xml:space="preserve">not</w:t>
      </w:r>
      <w:r>
        <w:rPr>
          <w:b/>
          <w:bCs/>
          <w:sz w:val="22"/>
          <w:szCs w:val="18"/>
          <w:u w:val="single"/>
        </w:rPr>
        <w:t xml:space="preserve"> cited in the</w:t>
      </w:r>
      <w:r>
        <w:rPr>
          <w:b/>
          <w:bCs/>
          <w:sz w:val="22"/>
          <w:szCs w:val="18"/>
          <w:u w:val="single"/>
        </w:rPr>
        <w:t xml:space="preserve"> </w:t>
      </w:r>
      <w:r>
        <w:rPr>
          <w:b/>
          <w:bCs/>
          <w:sz w:val="22"/>
          <w:szCs w:val="18"/>
          <w:u w:val="single"/>
        </w:rPr>
        <w:t xml:space="preserve">text will be removed from </w:t>
      </w:r>
      <w:r>
        <w:rPr>
          <w:b/>
          <w:bCs/>
          <w:sz w:val="22"/>
          <w:szCs w:val="18"/>
          <w:u w:val="single"/>
        </w:rPr>
        <w:t xml:space="preserve">the</w:t>
      </w:r>
      <w:r>
        <w:rPr>
          <w:b/>
          <w:bCs/>
          <w:sz w:val="22"/>
          <w:szCs w:val="18"/>
          <w:u w:val="single"/>
        </w:rPr>
        <w:t xml:space="preserve"> Reference list during the editing process.</w:t>
      </w:r>
      <w:r>
        <w:rPr>
          <w:sz w:val="22"/>
          <w:szCs w:val="18"/>
        </w:rPr>
        <w:t xml:space="preserve">  Papers with no References and Citations will be returned to the author</w:t>
      </w:r>
      <w:r>
        <w:rPr>
          <w:sz w:val="22"/>
          <w:szCs w:val="18"/>
        </w:rPr>
        <w:t xml:space="preserve"> or not accepted for publication during production stage</w:t>
      </w:r>
      <w:r>
        <w:rPr>
          <w:sz w:val="22"/>
          <w:szCs w:val="18"/>
        </w:rPr>
        <w:t xml:space="preserve">.</w:t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pStyle w:val="1285"/>
        <w:pBdr/>
        <w:spacing w:after="0" w:before="0" w:line="240" w:lineRule="auto"/>
        <w:ind w:right="0" w:firstLine="360"/>
        <w:rPr>
          <w:sz w:val="22"/>
          <w:szCs w:val="18"/>
        </w:rPr>
      </w:pPr>
      <w:r>
        <w:rPr>
          <w:sz w:val="22"/>
          <w:szCs w:val="18"/>
        </w:rPr>
        <w:tab/>
        <w:t xml:space="preserve">Citations are rendered within the text as follows:  </w:t>
      </w:r>
      <w:r>
        <w:rPr>
          <w:sz w:val="22"/>
          <w:szCs w:val="18"/>
        </w:rPr>
        <w:t xml:space="preserve">Singh and S</w:t>
      </w:r>
      <w:r>
        <w:rPr>
          <w:sz w:val="22"/>
          <w:szCs w:val="18"/>
        </w:rPr>
        <w:t xml:space="preserve">houra (2006</w:t>
      </w:r>
      <w:r>
        <w:rPr>
          <w:sz w:val="22"/>
          <w:szCs w:val="18"/>
        </w:rPr>
        <w:t xml:space="preserve">) and Cheung (2007)—</w:t>
      </w:r>
      <w:r>
        <w:rPr>
          <w:sz w:val="22"/>
          <w:szCs w:val="18"/>
        </w:rPr>
        <w:t xml:space="preserve">using the last name of the author</w:t>
      </w:r>
      <w:r>
        <w:rPr>
          <w:sz w:val="22"/>
          <w:szCs w:val="18"/>
        </w:rPr>
        <w:t xml:space="preserve"> and the publication year</w:t>
      </w:r>
      <w:r>
        <w:rPr>
          <w:sz w:val="22"/>
          <w:szCs w:val="18"/>
        </w:rPr>
        <w:t xml:space="preserve">.</w:t>
      </w:r>
      <w:r>
        <w:rPr>
          <w:sz w:val="22"/>
          <w:szCs w:val="18"/>
        </w:rPr>
        <w:t xml:space="preserve">  An author publishing more than once in a year will be rendered as (Smith 2013a) and (Smith 2013b).  </w:t>
      </w:r>
      <w:r>
        <w:rPr>
          <w:sz w:val="22"/>
          <w:szCs w:val="18"/>
        </w:rPr>
        <w:t xml:space="preserve">When multiple </w:t>
      </w:r>
      <w:r>
        <w:rPr>
          <w:sz w:val="22"/>
          <w:szCs w:val="18"/>
        </w:rPr>
        <w:t xml:space="preserve">citations</w:t>
      </w:r>
      <w:r>
        <w:rPr>
          <w:sz w:val="22"/>
          <w:szCs w:val="18"/>
        </w:rPr>
        <w:t xml:space="preserve"> are used at the end of a sentence or within parentheses, enter them like this</w:t>
      </w:r>
      <w:r>
        <w:rPr>
          <w:sz w:val="22"/>
          <w:szCs w:val="18"/>
        </w:rPr>
        <w:t xml:space="preserve">: </w:t>
      </w:r>
      <w:r>
        <w:rPr>
          <w:sz w:val="22"/>
          <w:szCs w:val="18"/>
        </w:rPr>
        <w:t xml:space="preserve"> (Newnan 1983, Yazdani 2001, Vimonsatit </w:t>
      </w:r>
      <w:r>
        <w:rPr>
          <w:i/>
          <w:sz w:val="22"/>
          <w:szCs w:val="18"/>
        </w:rPr>
        <w:t xml:space="preserve">et al.</w:t>
      </w:r>
      <w:r>
        <w:rPr>
          <w:sz w:val="22"/>
          <w:szCs w:val="18"/>
        </w:rPr>
        <w:t xml:space="preserve"> 2011); order </w:t>
      </w:r>
      <w:r>
        <w:rPr>
          <w:sz w:val="22"/>
          <w:szCs w:val="18"/>
        </w:rPr>
        <w:t xml:space="preserve">them</w:t>
      </w:r>
      <w:r>
        <w:rPr>
          <w:sz w:val="22"/>
          <w:szCs w:val="18"/>
        </w:rPr>
        <w:t xml:space="preserve"> by year of publication. </w:t>
      </w:r>
      <w:r>
        <w:rPr>
          <w:sz w:val="22"/>
          <w:szCs w:val="18"/>
        </w:rPr>
        <w:t xml:space="preserve"> </w:t>
      </w:r>
      <w:r>
        <w:rPr>
          <w:sz w:val="22"/>
          <w:szCs w:val="22"/>
        </w:rPr>
        <w:t xml:space="preserve">Court cases must be </w:t>
      </w:r>
      <w:r>
        <w:rPr>
          <w:i/>
          <w:sz w:val="22"/>
          <w:szCs w:val="22"/>
        </w:rPr>
        <w:t xml:space="preserve">italicized</w:t>
      </w:r>
      <w:r>
        <w:rPr>
          <w:sz w:val="22"/>
          <w:szCs w:val="22"/>
        </w:rPr>
        <w:t xml:space="preserve"> when </w:t>
      </w:r>
      <w:r>
        <w:rPr>
          <w:sz w:val="22"/>
          <w:szCs w:val="22"/>
        </w:rPr>
        <w:t xml:space="preserve">cited</w:t>
      </w:r>
      <w:r>
        <w:rPr>
          <w:sz w:val="22"/>
          <w:szCs w:val="22"/>
        </w:rPr>
        <w:t xml:space="preserve"> in the text, like </w:t>
      </w:r>
      <w:r>
        <w:rPr>
          <w:i/>
          <w:sz w:val="22"/>
          <w:szCs w:val="22"/>
        </w:rPr>
        <w:t xml:space="preserve">Drennan v. Star Paving Co.</w:t>
      </w:r>
      <w:r>
        <w:rPr>
          <w:sz w:val="22"/>
          <w:szCs w:val="18"/>
        </w:rPr>
        <w:t xml:space="preserve">  Examples </w:t>
      </w:r>
      <w:r>
        <w:rPr>
          <w:sz w:val="22"/>
          <w:szCs w:val="18"/>
        </w:rPr>
        <w:t xml:space="preserve">are below</w:t>
      </w:r>
      <w:r>
        <w:rPr>
          <w:sz w:val="22"/>
          <w:szCs w:val="22"/>
        </w:rPr>
        <w:t xml:space="preserve">:</w:t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20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</w:t>
      </w:r>
      <w:r>
        <w:rPr>
          <w:rFonts w:ascii="Times New Roman" w:hAnsi="Times New Roman" w:cs="Times New Roman"/>
          <w:i/>
          <w:sz w:val="20"/>
          <w:szCs w:val="18"/>
        </w:rPr>
        <w:t xml:space="preserve">Journal Papers</w:t>
      </w:r>
      <w:r>
        <w:rPr>
          <w:rFonts w:ascii="Times New Roman" w:hAnsi="Times New Roman" w:cs="Times New Roman"/>
          <w:i/>
          <w:sz w:val="20"/>
          <w:szCs w:val="18"/>
        </w:rPr>
        <w:t xml:space="preserve">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18"/>
        </w:rPr>
      </w:pPr>
      <w:r>
        <w:rPr>
          <w:sz w:val="20"/>
          <w:szCs w:val="18"/>
        </w:rPr>
        <w:t xml:space="preserve">Singh, A.,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and Shoura, M. M., </w:t>
      </w:r>
      <w:r>
        <w:rPr>
          <w:i/>
          <w:sz w:val="20"/>
          <w:szCs w:val="18"/>
        </w:rPr>
        <w:t xml:space="preserve">Evaluation of Change: A Case Study</w:t>
      </w:r>
      <w:r>
        <w:rPr>
          <w:sz w:val="20"/>
          <w:szCs w:val="18"/>
        </w:rPr>
        <w:t xml:space="preserve">, </w:t>
      </w:r>
      <w:r>
        <w:rPr>
          <w:sz w:val="20"/>
          <w:szCs w:val="18"/>
        </w:rPr>
        <w:t xml:space="preserve">International Journal of Project Management, Elsevier, </w:t>
      </w:r>
      <w:r>
        <w:rPr>
          <w:sz w:val="20"/>
          <w:szCs w:val="18"/>
        </w:rPr>
        <w:t xml:space="preserve">24(4), 337-348, </w:t>
      </w:r>
      <w:r>
        <w:rPr>
          <w:sz w:val="20"/>
          <w:szCs w:val="18"/>
        </w:rPr>
        <w:t xml:space="preserve">May</w:t>
      </w:r>
      <w:r>
        <w:rPr>
          <w:sz w:val="20"/>
          <w:szCs w:val="18"/>
        </w:rPr>
        <w:t xml:space="preserve"> 2006.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20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</w:t>
      </w:r>
      <w:r>
        <w:rPr>
          <w:rFonts w:ascii="Times New Roman" w:hAnsi="Times New Roman" w:cs="Times New Roman"/>
          <w:i/>
          <w:sz w:val="20"/>
          <w:szCs w:val="18"/>
        </w:rPr>
        <w:t xml:space="preserve">Books</w:t>
      </w:r>
      <w:r>
        <w:rPr>
          <w:rFonts w:ascii="Times New Roman" w:hAnsi="Times New Roman" w:cs="Times New Roman"/>
          <w:i/>
          <w:sz w:val="20"/>
          <w:szCs w:val="18"/>
        </w:rPr>
        <w:t xml:space="preserve">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18"/>
        </w:rPr>
      </w:pPr>
      <w:r>
        <w:rPr>
          <w:sz w:val="20"/>
          <w:szCs w:val="18"/>
        </w:rPr>
        <w:t xml:space="preserve">Cheung, S. </w:t>
      </w:r>
      <w:r>
        <w:rPr>
          <w:sz w:val="20"/>
          <w:szCs w:val="18"/>
        </w:rPr>
        <w:t xml:space="preserve">O., </w:t>
      </w:r>
      <w:r>
        <w:rPr>
          <w:i/>
          <w:sz w:val="20"/>
          <w:szCs w:val="18"/>
        </w:rPr>
        <w:t xml:space="preserve">Co-operative Contracting in Construction</w:t>
      </w:r>
      <w:r>
        <w:rPr>
          <w:sz w:val="20"/>
          <w:szCs w:val="18"/>
        </w:rPr>
        <w:t xml:space="preserve">, Hong Kong Press, Hong Kong, 2007.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20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Technical Reports: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rFonts w:ascii="Times New Roman" w:hAnsi="Times New Roman" w:cs="Times New Roman"/>
          <w:b w:val="0"/>
          <w:bCs w:val="0"/>
          <w:sz w:val="20"/>
          <w:szCs w:val="18"/>
        </w:rPr>
      </w:pPr>
      <w:r>
        <w:rPr>
          <w:rFonts w:ascii="Times New Roman" w:hAnsi="Times New Roman" w:cs="Times New Roman"/>
          <w:b w:val="0"/>
          <w:bCs w:val="0"/>
          <w:sz w:val="20"/>
          <w:szCs w:val="18"/>
        </w:rPr>
        <w:t xml:space="preserve">United States. (1972). Federal Water Pollution Control Act Amendments of 1972 (Clean Water Act), Pub. L. No. 92-500. 86 Stat. 816 (codified as amended at 33 U.S.C. §§ 1251–1387).</w:t>
      </w:r>
      <w:r>
        <w:rPr>
          <w:rFonts w:ascii="Times New Roman" w:hAnsi="Times New Roman" w:cs="Times New Roman"/>
          <w:b w:val="0"/>
          <w:bCs w:val="0"/>
          <w:sz w:val="20"/>
          <w:szCs w:val="18"/>
        </w:rPr>
      </w:r>
      <w:r>
        <w:rPr>
          <w:rFonts w:ascii="Times New Roman" w:hAnsi="Times New Roman" w:cs="Times New Roman"/>
          <w:b w:val="0"/>
          <w:bCs w:val="0"/>
          <w:sz w:val="20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20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</w:t>
      </w:r>
      <w:r>
        <w:rPr>
          <w:rFonts w:ascii="Times New Roman" w:hAnsi="Times New Roman" w:cs="Times New Roman"/>
          <w:i/>
          <w:sz w:val="20"/>
          <w:szCs w:val="18"/>
        </w:rPr>
        <w:t xml:space="preserve">or </w:t>
      </w:r>
      <w:r>
        <w:rPr>
          <w:rFonts w:ascii="Times New Roman" w:hAnsi="Times New Roman" w:cs="Times New Roman"/>
          <w:i/>
          <w:sz w:val="20"/>
          <w:szCs w:val="18"/>
        </w:rPr>
        <w:t xml:space="preserve">Proceedings Papers</w:t>
      </w:r>
      <w:r>
        <w:rPr>
          <w:rFonts w:ascii="Times New Roman" w:hAnsi="Times New Roman" w:cs="Times New Roman"/>
          <w:i/>
          <w:sz w:val="20"/>
          <w:szCs w:val="18"/>
        </w:rPr>
        <w:t xml:space="preserve">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18"/>
        </w:rPr>
      </w:pPr>
      <w:r>
        <w:rPr>
          <w:sz w:val="20"/>
          <w:szCs w:val="18"/>
        </w:rPr>
        <w:t xml:space="preserve">Bayhan, </w:t>
      </w:r>
      <w:r>
        <w:rPr>
          <w:sz w:val="20"/>
          <w:szCs w:val="18"/>
        </w:rPr>
        <w:t xml:space="preserve">H.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G.,</w:t>
      </w:r>
      <w:r>
        <w:rPr>
          <w:sz w:val="20"/>
          <w:szCs w:val="18"/>
        </w:rPr>
        <w:t xml:space="preserve"> and </w:t>
      </w:r>
      <w:r>
        <w:rPr>
          <w:sz w:val="20"/>
          <w:szCs w:val="18"/>
        </w:rPr>
        <w:t xml:space="preserve">Gurgun</w:t>
      </w:r>
      <w:r>
        <w:rPr>
          <w:sz w:val="20"/>
          <w:szCs w:val="18"/>
        </w:rPr>
        <w:t xml:space="preserve">, </w:t>
      </w:r>
      <w:r>
        <w:rPr>
          <w:sz w:val="20"/>
          <w:szCs w:val="18"/>
        </w:rPr>
        <w:t xml:space="preserve">A. P</w:t>
      </w:r>
      <w:r>
        <w:rPr>
          <w:sz w:val="20"/>
          <w:szCs w:val="18"/>
        </w:rPr>
        <w:t xml:space="preserve">. </w:t>
      </w:r>
      <w:r>
        <w:rPr>
          <w:i/>
          <w:sz w:val="20"/>
          <w:szCs w:val="18"/>
        </w:rPr>
        <w:t xml:space="preserve">Evaluation of LEED Certified Green Buildings</w:t>
      </w:r>
      <w:r>
        <w:rPr>
          <w:i/>
          <w:sz w:val="20"/>
          <w:szCs w:val="18"/>
        </w:rPr>
        <w:t xml:space="preserve">,</w:t>
      </w:r>
      <w:r>
        <w:rPr>
          <w:sz w:val="20"/>
          <w:szCs w:val="18"/>
        </w:rPr>
        <w:t xml:space="preserve"> First European and Mediterranean Structural Engineering and Construction Conference</w:t>
      </w:r>
      <w:r>
        <w:rPr>
          <w:sz w:val="20"/>
          <w:szCs w:val="18"/>
        </w:rPr>
        <w:t xml:space="preserve">, EURO-MED-SEC-1, </w:t>
      </w:r>
      <w:r>
        <w:rPr>
          <w:sz w:val="20"/>
          <w:szCs w:val="18"/>
        </w:rPr>
        <w:t xml:space="preserve">Istanbul, Turkey</w:t>
      </w:r>
      <w:r>
        <w:rPr>
          <w:sz w:val="20"/>
          <w:szCs w:val="18"/>
        </w:rPr>
        <w:t xml:space="preserve">. </w:t>
      </w:r>
      <w:r>
        <w:rPr>
          <w:sz w:val="20"/>
          <w:szCs w:val="18"/>
        </w:rPr>
        <w:t xml:space="preserve">doi: 10.14455/ISEC.res.2016.100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  <w:t xml:space="preserve"> May 24-29, 2016.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18"/>
        </w:rPr>
      </w:pPr>
      <w:r>
        <w:rPr>
          <w:sz w:val="20"/>
          <w:szCs w:val="18"/>
        </w:rPr>
        <w:t xml:space="preserve">Vimonsatit, V., Wahyuni, A., </w:t>
      </w:r>
      <w:r>
        <w:rPr>
          <w:sz w:val="20"/>
          <w:szCs w:val="18"/>
        </w:rPr>
        <w:t xml:space="preserve">and </w:t>
      </w:r>
      <w:r>
        <w:rPr>
          <w:sz w:val="20"/>
          <w:szCs w:val="18"/>
        </w:rPr>
        <w:t xml:space="preserve">Nikraz, H., </w:t>
      </w:r>
      <w:r>
        <w:rPr>
          <w:i/>
          <w:sz w:val="20"/>
          <w:szCs w:val="18"/>
        </w:rPr>
        <w:t xml:space="preserve">Behavior and Strength of Concrete Beams</w:t>
      </w:r>
      <w:r>
        <w:rPr>
          <w:sz w:val="20"/>
          <w:szCs w:val="18"/>
        </w:rPr>
        <w:t xml:space="preserve">, in </w:t>
      </w:r>
      <w:r>
        <w:rPr>
          <w:sz w:val="20"/>
          <w:szCs w:val="18"/>
        </w:rPr>
        <w:t xml:space="preserve">Structural Engineering</w:t>
      </w:r>
      <w:r>
        <w:rPr>
          <w:sz w:val="20"/>
          <w:szCs w:val="18"/>
        </w:rPr>
        <w:t xml:space="preserve">, Smith, S. and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Jones, T. (e</w:t>
      </w:r>
      <w:r>
        <w:rPr>
          <w:sz w:val="20"/>
          <w:szCs w:val="18"/>
        </w:rPr>
        <w:t xml:space="preserve">ds.), 747-751, </w:t>
      </w:r>
      <w:r>
        <w:rPr>
          <w:sz w:val="20"/>
          <w:szCs w:val="18"/>
        </w:rPr>
        <w:t xml:space="preserve">Stanford Univ. Press,</w:t>
      </w:r>
      <w:r>
        <w:rPr>
          <w:sz w:val="20"/>
          <w:szCs w:val="18"/>
        </w:rPr>
        <w:t xml:space="preserve"> 2011.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20"/>
        </w:rPr>
      </w:pPr>
      <w:r>
        <w:rPr>
          <w:sz w:val="20"/>
          <w:szCs w:val="20"/>
        </w:rPr>
        <w:t xml:space="preserve">Yazdani, S., </w:t>
      </w:r>
      <w:r>
        <w:rPr>
          <w:i/>
          <w:sz w:val="20"/>
          <w:szCs w:val="20"/>
        </w:rPr>
        <w:t xml:space="preserve">Damage and Preloading in Concrete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Creative Sy</w:t>
      </w:r>
      <w:r>
        <w:rPr>
          <w:sz w:val="20"/>
          <w:szCs w:val="20"/>
        </w:rPr>
        <w:t xml:space="preserve">stems in Structural and Construction Engineering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Singh, A. (e</w:t>
      </w:r>
      <w:r>
        <w:rPr>
          <w:sz w:val="20"/>
          <w:szCs w:val="20"/>
        </w:rPr>
        <w:t xml:space="preserve">d.), 995-998, </w:t>
      </w:r>
      <w:r>
        <w:rPr>
          <w:sz w:val="20"/>
          <w:szCs w:val="20"/>
        </w:rPr>
        <w:t xml:space="preserve">Balkema</w:t>
      </w:r>
      <w:r>
        <w:rPr>
          <w:sz w:val="20"/>
          <w:szCs w:val="20"/>
        </w:rPr>
        <w:t xml:space="preserve">, Netherlands, 2001.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4"/>
        <w:pBdr/>
        <w:tabs>
          <w:tab w:val="left" w:leader="none" w:pos="7740"/>
        </w:tabs>
        <w:spacing w:after="0" w:before="20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</w:t>
      </w:r>
      <w:r>
        <w:rPr>
          <w:rFonts w:ascii="Times New Roman" w:hAnsi="Times New Roman" w:cs="Times New Roman"/>
          <w:i/>
          <w:sz w:val="20"/>
          <w:szCs w:val="18"/>
        </w:rPr>
        <w:t xml:space="preserve">Acts and Statutes</w:t>
      </w:r>
      <w:r>
        <w:rPr>
          <w:rFonts w:ascii="Times New Roman" w:hAnsi="Times New Roman" w:cs="Times New Roman"/>
          <w:i/>
          <w:sz w:val="20"/>
          <w:szCs w:val="18"/>
        </w:rPr>
        <w:t xml:space="preserve">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contextualSpacing w:val="true"/>
        <w:rPr>
          <w:sz w:val="20"/>
          <w:szCs w:val="18"/>
        </w:rPr>
      </w:pPr>
      <w:r>
        <w:rPr>
          <w:sz w:val="20"/>
          <w:szCs w:val="18"/>
        </w:rPr>
        <w:t xml:space="preserve">Safety Improvement Act of 1999. Pub L. No. 106-159. 113 Stat. 1748</w:t>
      </w:r>
      <w:r>
        <w:rPr>
          <w:sz w:val="20"/>
          <w:szCs w:val="18"/>
        </w:rPr>
        <w:t xml:space="preserve"> </w:t>
      </w:r>
      <w:r>
        <w:rPr>
          <w:color w:val="000000"/>
          <w:sz w:val="20"/>
          <w:szCs w:val="18"/>
        </w:rPr>
        <w:t xml:space="preserve">15 U.S.C. § 1414 (2006).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74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</w:t>
      </w:r>
      <w:r>
        <w:rPr>
          <w:rFonts w:ascii="Times New Roman" w:hAnsi="Times New Roman" w:cs="Times New Roman"/>
          <w:i/>
          <w:sz w:val="20"/>
          <w:szCs w:val="18"/>
        </w:rPr>
        <w:t xml:space="preserve">Court Cases</w:t>
      </w:r>
      <w:r>
        <w:rPr>
          <w:rFonts w:ascii="Times New Roman" w:hAnsi="Times New Roman" w:cs="Times New Roman"/>
          <w:i/>
          <w:sz w:val="20"/>
          <w:szCs w:val="18"/>
        </w:rPr>
        <w:t xml:space="preserve">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302"/>
        <w:pBdr/>
        <w:spacing/>
        <w:ind w:hanging="360" w:left="360"/>
        <w:rPr/>
      </w:pPr>
      <w:r>
        <w:rPr>
          <w:i/>
          <w:sz w:val="20"/>
          <w:szCs w:val="20"/>
        </w:rPr>
        <w:t xml:space="preserve">Double AA Builders, Ltd. v. State Construction L.L.C.</w:t>
      </w:r>
      <w:r>
        <w:rPr>
          <w:sz w:val="20"/>
          <w:szCs w:val="20"/>
        </w:rPr>
        <w:t xml:space="preserve">, [2005] 210 Ariz. 503, 114 </w:t>
      </w:r>
      <w:r>
        <w:rPr>
          <w:sz w:val="20"/>
          <w:szCs w:val="20"/>
        </w:rPr>
        <w:t xml:space="preserve">P.3d 835</w:t>
      </w:r>
      <w:r>
        <w:t xml:space="preserve">.</w:t>
      </w:r>
      <w:r/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18"/>
        </w:rPr>
      </w:pPr>
      <w:r>
        <w:rPr>
          <w:i/>
          <w:sz w:val="20"/>
          <w:szCs w:val="18"/>
        </w:rPr>
        <w:t xml:space="preserve">Drennan v. Star Paving Co., </w:t>
      </w:r>
      <w:r>
        <w:rPr>
          <w:sz w:val="20"/>
          <w:szCs w:val="18"/>
        </w:rPr>
        <w:t xml:space="preserve">[1958] 51 Cal.2d 409, 333 P.2d 757 Supreme Court of California. United States vs. Delgado, 545 F.3d 1195 (9th Cir. 2008)</w:t>
      </w:r>
      <w:r>
        <w:rPr>
          <w:sz w:val="20"/>
          <w:szCs w:val="18"/>
        </w:rPr>
        <w:t xml:space="preserve">.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274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rFonts w:ascii="Times New Roman" w:hAnsi="Times New Roman" w:cs="Times New Roman"/>
          <w:i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 xml:space="preserve">For Electronic Sources:</w:t>
      </w:r>
      <w:r>
        <w:rPr>
          <w:rFonts w:ascii="Times New Roman" w:hAnsi="Times New Roman" w:cs="Times New Roman"/>
          <w:i/>
          <w:sz w:val="20"/>
          <w:szCs w:val="18"/>
        </w:rPr>
      </w:r>
      <w:r>
        <w:rPr>
          <w:rFonts w:ascii="Times New Roman" w:hAnsi="Times New Roman" w:cs="Times New Roman"/>
          <w:i/>
          <w:sz w:val="20"/>
          <w:szCs w:val="18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20"/>
        </w:rPr>
      </w:pPr>
      <w:r>
        <w:rPr>
          <w:sz w:val="20"/>
          <w:szCs w:val="20"/>
        </w:rPr>
        <w:t xml:space="preserve">Bernstein</w:t>
      </w:r>
      <w:r>
        <w:rPr>
          <w:sz w:val="20"/>
          <w:szCs w:val="20"/>
        </w:rPr>
        <w:t xml:space="preserve">, M.</w:t>
      </w:r>
      <w:r>
        <w:rPr>
          <w:sz w:val="20"/>
          <w:szCs w:val="20"/>
        </w:rPr>
        <w:t xml:space="preserve"> J., </w:t>
      </w:r>
      <w:r>
        <w:rPr>
          <w:i/>
          <w:sz w:val="20"/>
          <w:szCs w:val="20"/>
        </w:rPr>
        <w:t xml:space="preserve">10 Tips on Measuring Statistical Lags</w:t>
      </w:r>
      <w:r>
        <w:rPr>
          <w:sz w:val="20"/>
          <w:szCs w:val="20"/>
        </w:rPr>
        <w:t xml:space="preserve">, Kotaku.org, June 13, 2009.  Retrieved from </w:t>
      </w:r>
      <w:r>
        <w:rPr>
          <w:sz w:val="20"/>
          <w:szCs w:val="20"/>
        </w:rPr>
        <w:t xml:space="preserve">www.kotaku.org/10tipsonmeasuringlags.php</w:t>
      </w:r>
      <w:r>
        <w:rPr>
          <w:sz w:val="20"/>
          <w:szCs w:val="20"/>
        </w:rPr>
        <w:t xml:space="preserve"> on October 3, 2013.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0"/>
          <w:szCs w:val="20"/>
        </w:rPr>
      </w:pPr>
      <w:r>
        <w:rPr>
          <w:sz w:val="20"/>
          <w:szCs w:val="20"/>
        </w:rPr>
        <w:t xml:space="preserve">STATPERFECT Software, retrieved from </w:t>
      </w:r>
      <w:r>
        <w:rPr>
          <w:sz w:val="20"/>
          <w:szCs w:val="20"/>
        </w:rPr>
        <w:t xml:space="preserve">www.statperfect.or.kr</w:t>
      </w:r>
      <w:r>
        <w:rPr>
          <w:sz w:val="20"/>
          <w:szCs w:val="20"/>
        </w:rPr>
        <w:t xml:space="preserve"> on May 2013.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hanging="360" w:left="36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271"/>
        <w:pBdr/>
        <w:tabs>
          <w:tab w:val="left" w:leader="none" w:pos="7740"/>
        </w:tabs>
        <w:spacing w:after="0" w:before="0" w:line="240" w:lineRule="auto"/>
        <w:ind w:right="0" w:firstLine="360"/>
        <w:rPr>
          <w:sz w:val="20"/>
          <w:szCs w:val="20"/>
        </w:rPr>
      </w:pPr>
      <w:r>
        <w:rPr>
          <w:sz w:val="22"/>
          <w:szCs w:val="18"/>
        </w:rPr>
        <w:t xml:space="preserve">The Reference list is unnumbered and should appear in alphabetical order by last name.  </w:t>
      </w:r>
      <w:r>
        <w:rPr>
          <w:sz w:val="22"/>
          <w:szCs w:val="18"/>
          <w:u w:val="single"/>
        </w:rPr>
        <w:t xml:space="preserve">Type all References in continuous format</w:t>
      </w:r>
      <w:r>
        <w:rPr>
          <w:color w:val="0000ff"/>
          <w:sz w:val="22"/>
          <w:szCs w:val="18"/>
        </w:rPr>
        <w:t xml:space="preserve"> (i.e., do NOT separate them into groups of journal papers, books, proceedings, etc.) in</w:t>
      </w:r>
      <w:r>
        <w:rPr>
          <w:sz w:val="22"/>
          <w:szCs w:val="18"/>
        </w:rPr>
        <w:t xml:space="preserve"> </w:t>
      </w:r>
      <w:r>
        <w:rPr>
          <w:color w:val="0000ff"/>
          <w:sz w:val="22"/>
          <w:szCs w:val="18"/>
        </w:rPr>
        <w:t xml:space="preserve">10pt Times New Roman with exact line spacing at 11pt</w:t>
      </w:r>
      <w:r>
        <w:rPr>
          <w:sz w:val="22"/>
          <w:szCs w:val="18"/>
        </w:rPr>
        <w:t xml:space="preserve">.  </w:t>
      </w:r>
      <w:r>
        <w:rPr>
          <w:i/>
          <w:sz w:val="22"/>
          <w:szCs w:val="18"/>
        </w:rPr>
        <w:t xml:space="preserve">Article </w:t>
      </w:r>
      <w:r>
        <w:rPr>
          <w:i/>
          <w:sz w:val="22"/>
          <w:szCs w:val="18"/>
        </w:rPr>
        <w:t xml:space="preserve">titles </w:t>
      </w:r>
      <w:r>
        <w:rPr>
          <w:i/>
          <w:sz w:val="22"/>
          <w:szCs w:val="18"/>
        </w:rPr>
        <w:t xml:space="preserve">are</w:t>
      </w:r>
      <w:r>
        <w:rPr>
          <w:i/>
          <w:sz w:val="22"/>
          <w:szCs w:val="18"/>
        </w:rPr>
        <w:t xml:space="preserve"> italicized</w:t>
      </w:r>
      <w:r>
        <w:rPr>
          <w:sz w:val="22"/>
          <w:szCs w:val="18"/>
        </w:rPr>
        <w:t xml:space="preserve">, </w:t>
      </w:r>
      <w:r>
        <w:rPr>
          <w:sz w:val="22"/>
          <w:szCs w:val="18"/>
        </w:rPr>
        <w:t xml:space="preserve">publications containing</w:t>
      </w:r>
      <w:r>
        <w:rPr>
          <w:sz w:val="22"/>
          <w:szCs w:val="18"/>
        </w:rPr>
        <w:t xml:space="preserve"> them are not.  </w:t>
      </w:r>
      <w:r>
        <w:rPr>
          <w:sz w:val="22"/>
          <w:szCs w:val="18"/>
        </w:rPr>
        <w:t xml:space="preserve">For journal names, </w:t>
      </w:r>
      <w:r>
        <w:rPr>
          <w:sz w:val="22"/>
          <w:szCs w:val="18"/>
        </w:rPr>
        <w:t xml:space="preserve">you may </w:t>
      </w:r>
      <w:r>
        <w:rPr>
          <w:sz w:val="22"/>
          <w:szCs w:val="18"/>
        </w:rPr>
        <w:t xml:space="preserve">use standard abbreviation</w:t>
      </w:r>
      <w:r>
        <w:rPr>
          <w:sz w:val="22"/>
          <w:szCs w:val="18"/>
        </w:rPr>
        <w:t xml:space="preserve">s to save space.  </w:t>
      </w:r>
      <w:r>
        <w:rPr>
          <w:sz w:val="22"/>
          <w:szCs w:val="22"/>
        </w:rPr>
        <w:t xml:space="preserve">All manuscript titles and journal names should be in </w:t>
      </w:r>
      <w:r>
        <w:rPr>
          <w:sz w:val="22"/>
          <w:szCs w:val="22"/>
        </w:rPr>
        <w:t xml:space="preserve">Title Case</w:t>
      </w:r>
      <w:r>
        <w:rPr>
          <w:i/>
          <w:sz w:val="22"/>
          <w:szCs w:val="22"/>
        </w:rPr>
        <w:t xml:space="preserve">.</w:t>
      </w:r>
      <w:r>
        <w:rPr>
          <w:szCs w:val="18"/>
        </w:rPr>
        <w:t xml:space="preserve">  </w:t>
      </w:r>
      <w:r>
        <w:rPr>
          <w:color w:val="0000ff"/>
          <w:sz w:val="22"/>
          <w:szCs w:val="22"/>
        </w:rPr>
        <w:t xml:space="preserve">Indent references as shown</w:t>
      </w:r>
      <w:r>
        <w:rPr>
          <w:color w:val="0000ff"/>
          <w:sz w:val="22"/>
          <w:szCs w:val="22"/>
        </w:rPr>
        <w:t xml:space="preserve"> above.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12"/>
      <w:headerReference w:type="even" r:id="rId13"/>
      <w:headerReference w:type="first" r:id="rId14"/>
      <w:footerReference w:type="default" r:id="rId18"/>
      <w:footerReference w:type="even" r:id="rId19"/>
      <w:footerReference w:type="first" r:id="rId20"/>
      <w:footnotePr/>
      <w:endnotePr>
        <w:numFmt w:val="decimal"/>
      </w:endnotePr>
      <w:type w:val="continuous"/>
      <w:pgSz w:h="15840" w:orient="portrait" w:w="12240"/>
      <w:pgMar w:top="1800" w:right="1800" w:bottom="1800" w:left="1800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ambria">
    <w:panose1 w:val="02040503050406030204"/>
  </w:font>
  <w:font w:name="Courier New">
    <w:panose1 w:val="02070309020205020404"/>
  </w:font>
  <w:font w:name="Tahoma">
    <w:panose1 w:val="020B0604030504040204"/>
  </w:font>
  <w:font w:name="Angsana New">
    <w:panose1 w:val="02020603050405020304"/>
  </w:font>
  <w:font w:name="Calibri">
    <w:panose1 w:val="020F0502020204030204"/>
  </w:font>
  <w:font w:name="Aptos">
    <w:panose1 w:val="020B0004020202020204"/>
  </w:font>
  <w:font w:name="Arial">
    <w:panose1 w:val="020B0604020202020204"/>
  </w:font>
  <w:font w:name="DengXian">
    <w:panose1 w:val="05040102010807070707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5</w:t>
    </w:r>
    <w:r>
      <w:fldChar w:fldCharType="end"/>
    </w:r>
    <w:r/>
  </w:p>
  <w:p>
    <w:pPr>
      <w:pStyle w:val="130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tabs>
        <w:tab w:val="center" w:leader="none" w:pos="3874"/>
        <w:tab w:val="clear" w:leader="none" w:pos="4680"/>
        <w:tab w:val="right" w:leader="none" w:pos="7748"/>
        <w:tab w:val="clear" w:leader="none" w:pos="9360"/>
      </w:tabs>
      <w:spacing w:after="0" w:before="0"/>
      <w:ind/>
      <w:jc w:val="center"/>
      <w:rPr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-283209</wp:posOffset>
              </wp:positionH>
              <wp:positionV relativeFrom="paragraph">
                <wp:posOffset>0</wp:posOffset>
              </wp:positionV>
              <wp:extent cx="594360" cy="210185"/>
              <wp:effectExtent l="0" t="0" r="0" b="0"/>
              <wp:wrapSquare wrapText="bothSides"/>
              <wp:docPr id="2" name="_x0000_s102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https://i.creativecommons.org/l/by-nc-nd/4.0/88x31.png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-283209" y="0"/>
                        <a:ext cx="594360" cy="210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3;o:allowoverlap:true;o:allowincell:true;mso-position-horizontal-relative:text;margin-left:-22.30pt;mso-position-horizontal:absolute;mso-position-vertical-relative:text;margin-top:0.00pt;mso-position-vertical:absolute;width:46.80pt;height:16.5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  <w:lang w:val="en-US"/>
      </w:rPr>
      <w:t xml:space="preserve">AAA</w:t>
    </w:r>
    <w:r>
      <w:rPr>
        <w:sz w:val="20"/>
        <w:szCs w:val="20"/>
        <w:lang w:val="en-US"/>
      </w:rPr>
      <w:t xml:space="preserve">-25-</w:t>
    </w:r>
    <w:r>
      <w:rPr>
        <w:sz w:val="20"/>
        <w:szCs w:val="20"/>
        <w:lang w:val="en-US"/>
      </w:rPr>
      <w:fldChar w:fldCharType="begin"/>
    </w:r>
    <w:r>
      <w:rPr>
        <w:sz w:val="20"/>
        <w:szCs w:val="20"/>
        <w:lang w:val="en-US"/>
      </w:rPr>
      <w:instrText xml:space="preserve"> PAGE  \* MERGEFORMAT </w:instrText>
    </w:r>
    <w:r>
      <w:rPr>
        <w:sz w:val="20"/>
        <w:szCs w:val="20"/>
        <w:lang w:val="en-US"/>
      </w:rPr>
      <w:fldChar w:fldCharType="separate"/>
    </w:r>
    <w:r>
      <w:rPr>
        <w:sz w:val="20"/>
        <w:szCs w:val="20"/>
        <w:lang w:val="en-US"/>
      </w:rPr>
      <w:t xml:space="preserve">1</w:t>
    </w:r>
    <w:r>
      <w:rPr>
        <w:sz w:val="20"/>
        <w:szCs w:val="20"/>
        <w:lang w:val="en-US"/>
      </w:rPr>
      <w:fldChar w:fldCharType="end"/>
    </w:r>
    <w:r>
      <w:rPr>
        <w:sz w:val="20"/>
        <w:szCs w:val="20"/>
      </w:rPr>
      <w:tab/>
    </w:r>
    <w:r>
      <w:rPr>
        <w:sz w:val="20"/>
        <w:szCs w:val="20"/>
      </w:rPr>
    </w:r>
    <w:r>
      <w:rPr>
        <w:sz w:val="20"/>
        <w:szCs w:val="20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tabs>
        <w:tab w:val="center" w:leader="none" w:pos="4320"/>
        <w:tab w:val="clear" w:leader="none" w:pos="4680"/>
        <w:tab w:val="right" w:leader="none" w:pos="8640"/>
        <w:tab w:val="clear" w:leader="none" w:pos="9360"/>
      </w:tabs>
      <w:spacing w:after="0" w:before="0"/>
      <w:ind/>
      <w:jc w:val="center"/>
      <w:rPr>
        <w:sz w:val="20"/>
        <w:szCs w:val="20"/>
        <w:lang w:val="en-US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6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4360" cy="210185"/>
              <wp:effectExtent l="0" t="0" r="0" b="0"/>
              <wp:wrapSquare wrapText="bothSides"/>
              <wp:docPr id="3" name="_x0000_s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https://i.creativecommons.org/l/by-nc-nd/4.0/88x31.png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94360" cy="210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0609662;o:allowoverlap:true;o:allowincell:true;mso-position-horizontal-relative:text;margin-left:0.00pt;mso-position-horizontal:absolute;mso-position-vertical-relative:text;margin-top:0.00pt;mso-position-vertical:absolute;width:46.80pt;height:16.5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  <w:lang w:val="en-US"/>
      </w:rPr>
      <w:t xml:space="preserve">AAA</w:t>
    </w:r>
    <w:r>
      <w:rPr>
        <w:sz w:val="20"/>
        <w:szCs w:val="20"/>
        <w:lang w:val="en-US"/>
      </w:rPr>
      <w:t xml:space="preserve">-25-</w:t>
    </w:r>
    <w:r>
      <w:rPr>
        <w:sz w:val="20"/>
        <w:szCs w:val="20"/>
        <w:lang w:val="en-US"/>
      </w:rPr>
      <w:fldChar w:fldCharType="begin"/>
    </w:r>
    <w:r>
      <w:rPr>
        <w:sz w:val="20"/>
        <w:szCs w:val="20"/>
        <w:lang w:val="en-US"/>
      </w:rPr>
      <w:instrText xml:space="preserve"> PAGE  \* MERGEFORMAT </w:instrText>
    </w:r>
    <w:r>
      <w:rPr>
        <w:sz w:val="20"/>
        <w:szCs w:val="20"/>
        <w:lang w:val="en-US"/>
      </w:rPr>
      <w:fldChar w:fldCharType="separate"/>
    </w:r>
    <w:r>
      <w:rPr>
        <w:sz w:val="20"/>
        <w:szCs w:val="20"/>
        <w:lang w:val="en-US"/>
      </w:rPr>
      <w:t xml:space="preserve">5</w:t>
    </w:r>
    <w:r>
      <w:rPr>
        <w:sz w:val="20"/>
        <w:szCs w:val="20"/>
        <w:lang w:val="en-US"/>
      </w:rPr>
      <w:fldChar w:fldCharType="end"/>
    </w:r>
    <w:r>
      <w:rPr>
        <w:sz w:val="20"/>
        <w:szCs w:val="20"/>
      </w:rPr>
      <w:tab/>
    </w:r>
    <w:r>
      <w:rPr>
        <w:sz w:val="16"/>
        <w:szCs w:val="16"/>
        <w:lang w:val="en-US"/>
      </w:rPr>
      <w:t xml:space="preserve">© 202</w:t>
    </w:r>
    <w:r>
      <w:rPr>
        <w:sz w:val="16"/>
        <w:szCs w:val="16"/>
        <w:lang w:val="en-US"/>
      </w:rPr>
      <w:t xml:space="preserve">7 ISEC Press</w:t>
    </w:r>
    <w:r>
      <w:rPr>
        <w:sz w:val="20"/>
        <w:szCs w:val="20"/>
        <w:lang w:val="en-US"/>
      </w:rPr>
    </w:r>
    <w:r>
      <w:rPr>
        <w:sz w:val="20"/>
        <w:szCs w:val="20"/>
        <w:lang w:val="en-US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tabs>
        <w:tab w:val="center" w:leader="none" w:pos="4320"/>
        <w:tab w:val="clear" w:leader="none" w:pos="4680"/>
        <w:tab w:val="right" w:leader="none" w:pos="8640"/>
        <w:tab w:val="clear" w:leader="none" w:pos="9360"/>
      </w:tabs>
      <w:spacing w:after="0" w:before="0"/>
      <w:ind/>
      <w:jc w:val="center"/>
      <w:rPr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6420" cy="200660"/>
              <wp:effectExtent l="0" t="0" r="0" b="0"/>
              <wp:wrapSquare wrapText="bothSides"/>
              <wp:docPr id="4" name="_x0000_s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https://i.creativecommons.org/l/by-nc-nd/4.0/88x31.png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66420" cy="2006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0609663;o:allowoverlap:true;o:allowincell:true;mso-position-horizontal-relative:text;margin-left:0.00pt;mso-position-horizontal:absolute;mso-position-vertical-relative:text;margin-top:0.00pt;mso-position-vertical:absolute;width:44.60pt;height:15.80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  <w:lang w:val="en-US"/>
      </w:rPr>
      <w:t xml:space="preserve">AAA</w:t>
    </w:r>
    <w:r>
      <w:rPr>
        <w:sz w:val="20"/>
        <w:szCs w:val="20"/>
        <w:lang w:val="en-US"/>
      </w:rPr>
      <w:t xml:space="preserve">-25-</w:t>
    </w:r>
    <w:r>
      <w:rPr>
        <w:sz w:val="20"/>
        <w:szCs w:val="20"/>
        <w:lang w:val="en-US"/>
      </w:rPr>
      <w:fldChar w:fldCharType="begin"/>
    </w:r>
    <w:r>
      <w:rPr>
        <w:sz w:val="20"/>
        <w:szCs w:val="20"/>
        <w:lang w:val="en-US"/>
      </w:rPr>
      <w:instrText xml:space="preserve"> PAGE  \* MERGEFORMAT </w:instrText>
    </w:r>
    <w:r>
      <w:rPr>
        <w:sz w:val="20"/>
        <w:szCs w:val="20"/>
        <w:lang w:val="en-US"/>
      </w:rPr>
      <w:fldChar w:fldCharType="separate"/>
    </w:r>
    <w:r>
      <w:rPr>
        <w:sz w:val="20"/>
        <w:szCs w:val="20"/>
        <w:lang w:val="en-US"/>
      </w:rPr>
      <w:t xml:space="preserve">2</w:t>
    </w:r>
    <w:r>
      <w:rPr>
        <w:sz w:val="20"/>
        <w:szCs w:val="20"/>
        <w:lang w:val="en-US"/>
      </w:rPr>
      <w:fldChar w:fldCharType="end"/>
    </w:r>
    <w:r>
      <w:rPr>
        <w:sz w:val="20"/>
        <w:szCs w:val="20"/>
      </w:rPr>
      <w:tab/>
    </w:r>
    <w:r>
      <w:rPr>
        <w:sz w:val="16"/>
        <w:szCs w:val="16"/>
        <w:lang w:val="en-US"/>
      </w:rPr>
      <w:t xml:space="preserve">© 202</w:t>
    </w:r>
    <w:r>
      <w:rPr>
        <w:sz w:val="16"/>
        <w:szCs w:val="16"/>
        <w:lang w:val="en-US"/>
      </w:rPr>
      <w:t xml:space="preserve">7 ISEC Press</w:t>
    </w:r>
    <w:r>
      <w:rPr>
        <w:sz w:val="20"/>
        <w:szCs w:val="20"/>
      </w:rPr>
    </w:r>
    <w:r>
      <w:rPr>
        <w:sz w:val="20"/>
        <w:szCs w:val="20"/>
      </w:rPr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1296"/>
        <w:pBdr/>
        <w:spacing w:after="0" w:before="0"/>
        <w:ind w:right="0"/>
        <w:rPr>
          <w:sz w:val="18"/>
          <w:szCs w:val="18"/>
        </w:rPr>
      </w:pPr>
      <w:r>
        <w:rPr>
          <w:rStyle w:val="1295"/>
          <w:sz w:val="18"/>
          <w:szCs w:val="18"/>
        </w:rPr>
        <w:footnoteRef/>
      </w:r>
      <w:r>
        <w:rPr>
          <w:sz w:val="18"/>
          <w:szCs w:val="18"/>
        </w:rPr>
        <w:t xml:space="preserve">This is a sample footnote.  Aim to keep all footnotes within two to three lines.  Footnotes take up valuable space, so use them sparingly.</w:t>
      </w:r>
      <w:r>
        <w:rPr>
          <w:sz w:val="18"/>
          <w:szCs w:val="18"/>
        </w:rPr>
        <w:t xml:space="preserve">  The footnote should be in 9</w:t>
      </w:r>
      <w:r>
        <w:rPr>
          <w:sz w:val="18"/>
          <w:szCs w:val="18"/>
        </w:rPr>
        <w:t xml:space="preserve">pt font.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spacing w:after="0" w:before="0" w:line="240" w:lineRule="auto"/>
      <w:ind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Modern </w:t>
    </w:r>
    <w:r>
      <w:rPr>
        <w:rFonts w:cs="Arial"/>
        <w:i/>
        <w:sz w:val="16"/>
        <w:szCs w:val="16"/>
      </w:rPr>
      <w:t xml:space="preserve">Methods</w:t>
    </w:r>
    <w:r>
      <w:rPr>
        <w:rFonts w:cs="Arial"/>
        <w:i/>
        <w:sz w:val="16"/>
        <w:szCs w:val="16"/>
      </w:rPr>
      <w:t xml:space="preserve"> </w:t>
    </w:r>
    <w:r>
      <w:rPr>
        <w:i/>
        <w:sz w:val="16"/>
      </w:rPr>
      <w:t xml:space="preserve">and Advances in Structural Engineering and Construction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pStyle w:val="1303"/>
      <w:pBdr/>
      <w:spacing w:after="0" w:before="0" w:line="240" w:lineRule="auto"/>
      <w:ind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Cheung, S. O., Yazdani, S., Ghafoori, N., and Singh, A. (eds.)</w:t>
    </w:r>
    <w:r>
      <w:rPr>
        <w:rFonts w:ascii="Arial" w:hAnsi="Arial" w:cs="Arial"/>
        <w:sz w:val="20"/>
        <w:szCs w:val="20"/>
      </w:rPr>
      <w:br w:type="textWrapping" w:clear="all"/>
    </w:r>
    <w:r>
      <w:rPr>
        <w:rFonts w:ascii="Arial" w:hAnsi="Arial" w:cs="Arial"/>
        <w:sz w:val="16"/>
        <w:szCs w:val="16"/>
      </w:rPr>
      <w:t xml:space="preserve">ISEC-6, </w:t>
    </w:r>
    <w:r>
      <w:rPr>
        <w:rFonts w:ascii="Arial" w:hAnsi="Arial" w:cs="Arial"/>
        <w:sz w:val="16"/>
        <w:szCs w:val="16"/>
      </w:rPr>
      <w:t xml:space="preserve">Zürich, June 21–26, 2011</w:t>
    </w:r>
    <w:r>
      <w:rPr>
        <w:rFonts w:ascii="Arial" w:hAnsi="Arial" w:cs="Arial"/>
        <w:sz w:val="20"/>
        <w:szCs w:val="20"/>
      </w:rPr>
    </w:r>
    <w:r>
      <w:rPr>
        <w:rFonts w:ascii="Arial" w:hAnsi="Arial" w:cs="Arial"/>
        <w:sz w:val="20"/>
        <w:szCs w:val="20"/>
      </w:rPr>
    </w:r>
  </w:p>
  <w:p>
    <w:pPr>
      <w:pStyle w:val="1303"/>
      <w:pBdr/>
      <w:spacing w:after="0" w:before="0" w:line="240" w:lineRule="auto"/>
      <w:ind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</w:r>
    <w:r>
      <w:rPr>
        <w:rFonts w:ascii="Arial" w:hAnsi="Arial" w:cs="Arial"/>
        <w:sz w:val="20"/>
        <w:szCs w:val="20"/>
      </w:rPr>
    </w:r>
    <w:r>
      <w:rPr>
        <w:rFonts w:ascii="Arial" w:hAnsi="Arial" w:cs="Arial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spacing w:before="120" w:line="240" w:lineRule="auto"/>
      <w:ind/>
      <w:jc w:val="left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Instructions for Preparing Manuscripts</w:t>
    </w:r>
    <w:r>
      <w:rPr>
        <w:rFonts w:ascii="Arial" w:hAnsi="Arial" w:cs="Arial"/>
        <w:sz w:val="20"/>
        <w:szCs w:val="20"/>
      </w:rPr>
      <w:br w:type="textWrapping" w:clear="all"/>
    </w:r>
    <w:r>
      <w:rPr>
        <w:rFonts w:ascii="Arial" w:hAnsi="Arial" w:cs="Arial"/>
        <w:sz w:val="16"/>
        <w:szCs w:val="16"/>
      </w:rPr>
      <w:t xml:space="preserve">Author 1, Author 2, and Author 3</w:t>
    </w:r>
    <w:r>
      <w:rPr>
        <w:rFonts w:ascii="Arial" w:hAnsi="Arial" w:cs="Arial"/>
        <w:sz w:val="16"/>
        <w:szCs w:val="16"/>
      </w:rPr>
      <w:br w:type="textWrapping" w:clear="all"/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tabs>
        <w:tab w:val="left" w:leader="none" w:pos="0"/>
      </w:tabs>
      <w:spacing w:after="0" w:before="0" w:line="240" w:lineRule="auto"/>
      <w:ind w:right="8"/>
      <w:jc w:val="right"/>
      <w:rPr>
        <w:sz w:val="16"/>
        <w:szCs w:val="16"/>
        <w:lang w:val="en-US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-177164</wp:posOffset>
              </wp:positionH>
              <wp:positionV relativeFrom="paragraph">
                <wp:posOffset>11430</wp:posOffset>
              </wp:positionV>
              <wp:extent cx="1052195" cy="565150"/>
              <wp:effectExtent l="0" t="0" r="0" b="0"/>
              <wp:wrapNone/>
              <wp:docPr id="1" name="_x0000_s102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logo-outline-4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-177164" y="11430"/>
                        <a:ext cx="1052195" cy="565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4288;o:allowoverlap:true;o:allowincell:true;mso-position-horizontal-relative:text;margin-left:-13.95pt;mso-position-horizontal:absolute;mso-position-vertical-relative:text;margin-top:0.90pt;mso-position-vertical:absolute;width:82.85pt;height:44.5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16"/>
        <w:szCs w:val="16"/>
        <w:lang w:val="en-US"/>
      </w:rPr>
      <w:t xml:space="preserve">Proceedings of International Structural Engineering and Construction</w:t>
    </w:r>
    <w:r>
      <w:rPr>
        <w:sz w:val="16"/>
        <w:szCs w:val="16"/>
        <w:lang w:val="en-US"/>
      </w:rPr>
      <w:t xml:space="preserve">, </w:t>
    </w:r>
    <w:r>
      <w:rPr>
        <w:sz w:val="16"/>
        <w:szCs w:val="16"/>
        <w:lang w:val="en-US"/>
      </w:rPr>
      <w:t xml:space="preserve">1</w:t>
    </w:r>
    <w:r>
      <w:rPr>
        <w:sz w:val="16"/>
        <w:szCs w:val="16"/>
        <w:lang w:val="en-US"/>
      </w:rPr>
      <w:t xml:space="preserve">4(</w:t>
    </w:r>
    <w:r>
      <w:rPr>
        <w:sz w:val="16"/>
        <w:szCs w:val="16"/>
        <w:lang w:val="en-US"/>
      </w:rPr>
      <w:t xml:space="preserve">2), </w:t>
    </w:r>
    <w:r>
      <w:rPr>
        <w:sz w:val="16"/>
        <w:szCs w:val="16"/>
        <w:lang w:val="en-US"/>
      </w:rPr>
      <w:t xml:space="preserve">202</w:t>
    </w:r>
    <w:r>
      <w:rPr>
        <w:sz w:val="16"/>
        <w:szCs w:val="16"/>
        <w:lang w:val="en-US"/>
      </w:rPr>
      <w:t xml:space="preserve">7</w:t>
    </w:r>
    <w:r>
      <w:rPr>
        <w:sz w:val="16"/>
        <w:szCs w:val="16"/>
        <w:lang w:val="en-US"/>
      </w:rPr>
    </w:r>
    <w:r>
      <w:rPr>
        <w:sz w:val="16"/>
        <w:szCs w:val="16"/>
        <w:lang w:val="en-US"/>
      </w:rPr>
    </w:r>
  </w:p>
  <w:p w14:paraId="037A333D">
    <w:pPr>
      <w:pStyle w:val="1303"/>
      <w:pBdr/>
      <w:spacing w:after="0" w:before="0" w:line="240" w:lineRule="auto"/>
      <w:ind w:right="0"/>
      <w:jc w:val="right"/>
      <w:rPr>
        <w:lang w:val="en-US"/>
      </w:rPr>
    </w:pPr>
    <w:r>
      <w:rPr>
        <w:sz w:val="16"/>
        <w:szCs w:val="16"/>
        <w:lang w:val="en-US"/>
      </w:rPr>
    </w:r>
    <w:r>
      <w:rPr>
        <w:sz w:val="16"/>
        <w:szCs w:val="16"/>
        <w:lang w:val="en-US"/>
      </w:rPr>
      <w:t xml:space="preserve">Regenerative Design, Architecture, Structures, and Construction</w:t>
    </w:r>
    <w:r>
      <w:rPr>
        <w:lang w:val="en-US"/>
      </w:rPr>
    </w:r>
    <w:r>
      <w:rPr>
        <w:lang w:val="en-US"/>
      </w:rPr>
    </w:r>
  </w:p>
  <w:p>
    <w:pPr>
      <w:pStyle w:val="1303"/>
      <w:pBdr/>
      <w:spacing w:after="0" w:before="0" w:line="240" w:lineRule="auto"/>
      <w:ind w:right="8"/>
      <w:jc w:val="right"/>
      <w:rPr>
        <w:i/>
        <w:sz w:val="16"/>
        <w:szCs w:val="16"/>
        <w:lang w:val="en-US"/>
      </w:rPr>
    </w:pPr>
    <w:r>
      <w:rPr>
        <w:i/>
        <w:sz w:val="16"/>
        <w:szCs w:val="16"/>
      </w:rPr>
      <w:t xml:space="preserve">Edited b</w:t>
    </w:r>
    <w:r>
      <w:rPr>
        <w:i/>
        <w:sz w:val="16"/>
        <w:szCs w:val="16"/>
        <w:lang w:val="en-US"/>
      </w:rPr>
      <w:t xml:space="preserve">y</w:t>
    </w:r>
    <w:r>
      <w:rPr>
        <w:iCs/>
        <w:sz w:val="16"/>
        <w:szCs w:val="16"/>
        <w:lang w:val="en-US"/>
      </w:rPr>
      <w:t xml:space="preserve"> </w:t>
    </w:r>
    <w:r>
      <w:rPr>
        <w:iCs/>
        <w:sz w:val="16"/>
        <w:szCs w:val="16"/>
        <w:lang w:val="en-US"/>
      </w:rPr>
      <w:t xml:space="preserve">Yazdani, S., Gurgun, A. P., Lomiento, G.,</w:t>
    </w:r>
    <w:r>
      <w:rPr>
        <w:sz w:val="16"/>
        <w:szCs w:val="16"/>
        <w:lang w:val="en-US"/>
      </w:rPr>
      <w:t xml:space="preserve"> and Singh, A.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>
    <w:pPr>
      <w:pStyle w:val="1303"/>
      <w:pBdr/>
      <w:tabs>
        <w:tab w:val="left" w:leader="none" w:pos="0"/>
      </w:tabs>
      <w:spacing w:after="0" w:before="0" w:line="240" w:lineRule="auto"/>
      <w:ind w:right="8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Copyright © </w:t>
    </w:r>
    <w:r>
      <w:rPr>
        <w:sz w:val="16"/>
        <w:szCs w:val="16"/>
        <w:lang w:val="en-US"/>
      </w:rPr>
      <w:t xml:space="preserve">202</w:t>
    </w:r>
    <w:r>
      <w:rPr>
        <w:sz w:val="16"/>
        <w:szCs w:val="16"/>
        <w:lang w:val="en-US"/>
      </w:rPr>
      <w:t xml:space="preserve">7 ISEC Press</w:t>
    </w:r>
    <w:r>
      <w:rPr>
        <w:sz w:val="16"/>
        <w:szCs w:val="16"/>
        <w:lang w:val="en-US"/>
      </w:rPr>
    </w:r>
    <w:r>
      <w:rPr>
        <w:sz w:val="16"/>
        <w:szCs w:val="16"/>
        <w:lang w:val="en-US"/>
      </w:rPr>
    </w:r>
  </w:p>
  <w:p>
    <w:pPr>
      <w:pStyle w:val="1303"/>
      <w:pBdr/>
      <w:tabs>
        <w:tab w:val="left" w:leader="none" w:pos="0"/>
      </w:tabs>
      <w:spacing w:after="0" w:before="0" w:line="240" w:lineRule="auto"/>
      <w:ind w:right="8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www.doi.org/10.14455/ISEC.2027.14(</w:t>
    </w:r>
    <w:r>
      <w:rPr>
        <w:sz w:val="16"/>
        <w:szCs w:val="16"/>
        <w:lang w:val="en-US"/>
      </w:rPr>
      <w:t xml:space="preserve">2).</w:t>
    </w:r>
    <w:r>
      <w:rPr>
        <w:sz w:val="16"/>
        <w:szCs w:val="16"/>
        <w:lang w:val="en-US"/>
      </w:rPr>
      <w:t xml:space="preserve">Ref</w:t>
    </w:r>
    <w:r>
      <w:rPr>
        <w:sz w:val="16"/>
        <w:szCs w:val="16"/>
        <w:lang w:val="en-US"/>
      </w:rPr>
      <w:t xml:space="preserve">-</w:t>
    </w:r>
    <w:r>
      <w:rPr>
        <w:sz w:val="16"/>
        <w:szCs w:val="16"/>
        <w:lang w:val="en-US"/>
      </w:rPr>
      <w:t xml:space="preserve">ID</w:t>
    </w:r>
    <w:r>
      <w:rPr>
        <w:sz w:val="16"/>
        <w:szCs w:val="16"/>
        <w:lang w:val="en-US"/>
      </w:rPr>
    </w:r>
    <w:r>
      <w:rPr>
        <w:sz w:val="16"/>
        <w:szCs w:val="16"/>
        <w:lang w:val="en-US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spacing w:after="0" w:before="0" w:line="240" w:lineRule="auto"/>
      <w:ind w:right="0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Proceedings of International Structural Engineering and Construction</w:t>
    </w:r>
    <w:r>
      <w:rPr>
        <w:sz w:val="16"/>
        <w:szCs w:val="16"/>
        <w:lang w:val="en-US"/>
      </w:rPr>
      <w:t xml:space="preserve">, </w:t>
    </w:r>
    <w:r>
      <w:rPr>
        <w:sz w:val="16"/>
        <w:szCs w:val="16"/>
        <w:lang w:val="en-US"/>
      </w:rPr>
      <w:t xml:space="preserve">1</w:t>
    </w:r>
    <w:r>
      <w:rPr>
        <w:sz w:val="16"/>
        <w:szCs w:val="16"/>
        <w:lang w:val="en-US"/>
      </w:rPr>
      <w:t xml:space="preserve">4(</w:t>
    </w:r>
    <w:r>
      <w:rPr>
        <w:sz w:val="16"/>
        <w:szCs w:val="16"/>
        <w:lang w:val="en-US"/>
      </w:rPr>
      <w:t xml:space="preserve">2), 202</w:t>
    </w:r>
    <w:r>
      <w:rPr>
        <w:sz w:val="16"/>
        <w:szCs w:val="16"/>
        <w:lang w:val="en-US"/>
      </w:rPr>
      <w:t xml:space="preserve">7</w:t>
    </w:r>
    <w:r>
      <w:rPr>
        <w:sz w:val="16"/>
        <w:szCs w:val="16"/>
        <w:lang w:val="en-US"/>
      </w:rPr>
    </w:r>
    <w:r>
      <w:rPr>
        <w:sz w:val="16"/>
        <w:szCs w:val="16"/>
        <w:lang w:val="en-US"/>
      </w:rPr>
    </w:r>
  </w:p>
  <w:p w14:paraId="6CD1E1BE">
    <w:pPr>
      <w:pStyle w:val="1303"/>
      <w:pBdr/>
      <w:spacing w:after="0" w:before="0" w:line="240" w:lineRule="auto"/>
      <w:ind w:right="0"/>
      <w:jc w:val="right"/>
      <w:rPr>
        <w:lang w:val="en-US"/>
      </w:rPr>
    </w:pPr>
    <w:r>
      <w:rPr>
        <w:sz w:val="16"/>
        <w:szCs w:val="16"/>
        <w:lang w:val="en-US"/>
      </w:rPr>
    </w:r>
    <w:r>
      <w:rPr>
        <w:sz w:val="16"/>
        <w:szCs w:val="16"/>
        <w:lang w:val="en-US"/>
      </w:rPr>
      <w:t xml:space="preserve">Regenerative Design, Architecture, Structures, and Construction</w:t>
    </w:r>
    <w:r>
      <w:rPr>
        <w:lang w:val="en-US"/>
      </w:rPr>
    </w:r>
    <w:r>
      <w:rPr>
        <w:lang w:val="en-US"/>
      </w:rPr>
    </w:r>
  </w:p>
  <w:p>
    <w:pPr>
      <w:pStyle w:val="1303"/>
      <w:pBdr/>
      <w:spacing w:after="0" w:before="0" w:line="240" w:lineRule="auto"/>
      <w:ind w:right="0"/>
      <w:jc w:val="right"/>
      <w:rPr>
        <w:lang w:val="en-US"/>
      </w:rPr>
    </w:pPr>
    <w:r>
      <w:rPr>
        <w:sz w:val="16"/>
        <w:szCs w:val="16"/>
        <w:lang w:val="en-US"/>
      </w:rPr>
    </w:r>
    <w:r>
      <w:rPr>
        <w:lang w:val="en-US"/>
      </w:rPr>
    </w:r>
    <w:r>
      <w:rPr>
        <w:lang w:val="en-US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spacing w:after="0" w:before="0" w:line="240" w:lineRule="auto"/>
      <w:ind w:right="0"/>
      <w:rPr>
        <w:lang w:val="en-US"/>
      </w:rPr>
    </w:pPr>
    <w:r>
      <w:rPr>
        <w:iCs/>
        <w:sz w:val="16"/>
        <w:szCs w:val="16"/>
        <w:lang w:val="en-US"/>
      </w:rPr>
    </w:r>
    <w:r>
      <w:rPr>
        <w:iCs/>
        <w:sz w:val="16"/>
        <w:szCs w:val="16"/>
        <w:lang w:val="en-US"/>
      </w:rPr>
      <w:t xml:space="preserve">Yazdani, S., Gurgun, A. P., Lomiento, G.,</w:t>
    </w:r>
    <w:r>
      <w:rPr>
        <w:sz w:val="16"/>
        <w:szCs w:val="16"/>
        <w:lang w:val="en-US"/>
      </w:rPr>
      <w:t xml:space="preserve"> and Singh, A.</w:t>
    </w:r>
    <w:r>
      <w:rPr>
        <w:i/>
        <w:sz w:val="16"/>
        <w:szCs w:val="16"/>
        <w:lang w:val="en-US"/>
      </w:rPr>
      <w:t xml:space="preserve"> </w:t>
    </w:r>
    <w:r>
      <w:rPr>
        <w:i/>
        <w:sz w:val="16"/>
        <w:szCs w:val="16"/>
        <w:lang w:val="en-US"/>
      </w:rPr>
      <w:t xml:space="preserve">(eds.)</w:t>
    </w:r>
    <w:r>
      <w:rPr>
        <w:lang w:val="en-US"/>
      </w:rPr>
    </w:r>
    <w:r>
      <w:rPr>
        <w:lang w:val="en-US"/>
      </w:rPr>
    </w:r>
  </w:p>
  <w:p>
    <w:pPr>
      <w:pStyle w:val="1303"/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pBdr/>
      <w:spacing w:after="0" w:before="0" w:line="240" w:lineRule="auto"/>
      <w:ind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Modern </w:t>
    </w:r>
    <w:r>
      <w:rPr>
        <w:rFonts w:cs="Arial"/>
        <w:i/>
        <w:sz w:val="16"/>
        <w:szCs w:val="16"/>
      </w:rPr>
      <w:t xml:space="preserve">Methods</w:t>
    </w:r>
    <w:r>
      <w:rPr>
        <w:rFonts w:cs="Arial"/>
        <w:i/>
        <w:sz w:val="16"/>
        <w:szCs w:val="16"/>
      </w:rPr>
      <w:t xml:space="preserve"> </w:t>
    </w:r>
    <w:r>
      <w:rPr>
        <w:i/>
        <w:sz w:val="16"/>
      </w:rPr>
      <w:t xml:space="preserve">and Advances in Structural Engineering and Construction</w:t>
    </w:r>
    <w:r>
      <w:rPr>
        <w:rFonts w:ascii="Arial" w:hAnsi="Arial" w:cs="Arial"/>
        <w:sz w:val="20"/>
        <w:szCs w:val="20"/>
      </w:rPr>
      <w:br w:type="textWrapping" w:clear="all"/>
    </w:r>
    <w:r>
      <w:rPr>
        <w:rFonts w:ascii="Arial" w:hAnsi="Arial" w:cs="Arial"/>
        <w:sz w:val="16"/>
        <w:szCs w:val="16"/>
      </w:rPr>
      <w:t xml:space="preserve">Cheung, S. O., Yazdani, S., Ghafoori, N., and Singh, A. (eds.)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pStyle w:val="1303"/>
      <w:pBdr/>
      <w:spacing w:after="0" w:before="0" w:line="240" w:lineRule="auto"/>
      <w:ind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ISEC-6, </w:t>
    </w:r>
    <w:r>
      <w:rPr>
        <w:rFonts w:ascii="Arial" w:hAnsi="Arial" w:cs="Arial"/>
        <w:sz w:val="16"/>
        <w:szCs w:val="16"/>
      </w:rPr>
      <w:t xml:space="preserve">Zürich, June 21</w:t>
    </w:r>
    <w:r>
      <w:rPr>
        <w:rFonts w:ascii="Arial" w:hAnsi="Arial" w:cs="Arial"/>
        <w:sz w:val="16"/>
        <w:szCs w:val="16"/>
      </w:rPr>
      <w:t xml:space="preserve">–</w:t>
    </w:r>
    <w:r>
      <w:rPr>
        <w:rFonts w:ascii="Arial" w:hAnsi="Arial" w:cs="Arial"/>
        <w:sz w:val="16"/>
        <w:szCs w:val="16"/>
      </w:rPr>
      <w:t xml:space="preserve">26, 2011</w:t>
    </w:r>
    <w:r>
      <w:rPr>
        <w:rFonts w:ascii="Arial" w:hAnsi="Arial" w:cs="Arial"/>
        <w:sz w:val="20"/>
        <w:szCs w:val="20"/>
      </w:rPr>
    </w:r>
    <w:r>
      <w:rPr>
        <w:rFonts w:ascii="Arial" w:hAnsi="Arial" w:cs="Arial"/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lvl w:ilvl="0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ascii="Courier New" w:hAnsi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ascii="Courier New" w:hAnsi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ascii="Wingdings" w:hAnsi="Wingdings"/>
      </w:rPr>
      <w:start w:val="1"/>
      <w:suff w:val="tab"/>
    </w:lvl>
  </w:abstractNum>
  <w:abstractNum w:abstractNumId="1">
    <w:nsid w:val="1BAB2A10"/>
    <w:lvl w:ilvl="0">
      <w:isLgl w:val="false"/>
      <w:lvlJc w:val="right"/>
      <w:lvlText w:val="(%1)"/>
      <w:numFmt w:val="decimal"/>
      <w:pPr>
        <w:pBdr/>
        <w:tabs>
          <w:tab w:val="num" w:leader="none" w:pos="288"/>
        </w:tabs>
        <w:spacing/>
        <w:ind w:hanging="72" w:left="288"/>
      </w:pPr>
      <w:pStyle w:val="1289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1F12229A"/>
    <w:lvl w:ilvl="0">
      <w:isLgl w:val="false"/>
      <w:lvlJc w:val="left"/>
      <w:lvlText w:val="%1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271C151F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274" w:left="274"/>
      </w:pPr>
      <w:pStyle w:val="1301"/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nsid w:val="2B451F93"/>
    <w:lvl w:ilvl="0">
      <w:isLgl w:val="false"/>
      <w:lvlJc w:val="left"/>
      <w:lvlText w:val="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color w:val="000000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2DCA692A"/>
    <w:lvl w:ilvl="0">
      <w:isLgl w:val="false"/>
      <w:lvlJc w:val="left"/>
      <w:lvlText w:val="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color w:val="000000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6">
    <w:nsid w:val="32E52BA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3410026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6580EF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color w:val="000000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9">
    <w:nsid w:val="376B4297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</w:rPr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3BF449F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nsid w:val="409849E0"/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b/>
        <w:bCs/>
      </w:rPr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42C71F6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Arial" w:hAnsi="Arial"/>
        <w:b w:val="0"/>
        <w:i w:val="0"/>
        <w:sz w:val="22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43B819C4"/>
    <w:lvl w:ilvl="0">
      <w:isLgl w:val="false"/>
      <w:lvlJc w:val="left"/>
      <w:lvlText w:val="%1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46445454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nsid w:val="4F831C8D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287"/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">
    <w:nsid w:val="526079E6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nsid w:val="53D26788"/>
    <w:lvl w:ilvl="0">
      <w:isLgl w:val="false"/>
      <w:lvlJc w:val="left"/>
      <w:lvlText w:val="(%1)"/>
      <w:numFmt w:val="lowerLetter"/>
      <w:pPr>
        <w:pBdr/>
        <w:tabs>
          <w:tab w:val="num" w:leader="none" w:pos="360"/>
        </w:tabs>
        <w:spacing/>
        <w:ind w:hanging="360" w:left="360"/>
      </w:pPr>
      <w:pStyle w:val="128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8">
    <w:nsid w:val="5FED4672"/>
    <w:lvl w:ilvl="0">
      <w:isLgl w:val="false"/>
      <w:lvlJc w:val="left"/>
      <w:lvlText w:val="(%1)"/>
      <w:numFmt w:val="low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600E4E2D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0">
    <w:nsid w:val="63D77B9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nsid w:val="648470FA"/>
    <w:lvl w:ilvl="0">
      <w:isLgl w:val="false"/>
      <w:lvlJc w:val="left"/>
      <w:lvlText w:val="Appendix %1.   "/>
      <w:numFmt w:val="upperLetter"/>
      <w:pPr>
        <w:pBdr/>
        <w:spacing/>
        <w:ind w:hanging="300" w:left="300"/>
      </w:pPr>
      <w:pStyle w:val="1297"/>
      <w:rPr>
        <w:color w:val="000000"/>
      </w:rPr>
      <w:start w:val="1"/>
      <w:suff w:val="nothing"/>
    </w:lvl>
    <w:lvl w:ilvl="1">
      <w:isLgl w:val="false"/>
      <w:lvlJc w:val="left"/>
      <w:lvlText w:val="%1.%2.  "/>
      <w:numFmt w:val="decimal"/>
      <w:pPr>
        <w:pBdr/>
        <w:spacing/>
        <w:ind w:hanging="510" w:left="510"/>
      </w:pPr>
      <w:pStyle w:val="1298"/>
      <w:rPr>
        <w:rFonts w:ascii="Times New Roman" w:hAnsi="Times New Roman"/>
        <w:b/>
        <w:i w:val="0"/>
        <w:sz w:val="20"/>
      </w:rPr>
      <w:start w:val="1"/>
      <w:suff w:val="nothing"/>
    </w:lvl>
    <w:lvl w:ilvl="2">
      <w:isLgl w:val="false"/>
      <w:lvlJc w:val="left"/>
      <w:lvlText w:val="%1.%2.%3.  "/>
      <w:numFmt w:val="decimal"/>
      <w:pPr>
        <w:pBdr/>
        <w:spacing/>
        <w:ind w:hanging="288" w:left="288"/>
      </w:pPr>
      <w:pStyle w:val="1299"/>
      <w:rPr>
        <w:b w:val="0"/>
        <w:i w:val="0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88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60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432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68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400"/>
        </w:tabs>
        <w:spacing/>
        <w:ind w:hanging="1440" w:left="4320"/>
      </w:pPr>
      <w:rPr/>
      <w:start w:val="1"/>
      <w:suff w:val="tab"/>
    </w:lvl>
  </w:abstractNum>
  <w:abstractNum w:abstractNumId="22">
    <w:nsid w:val="69744EA9"/>
    <w:lvl w:ilvl="0">
      <w:isLgl w:val="false"/>
      <w:lvlJc w:val="left"/>
      <w:lvlText w:val="%1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3">
    <w:nsid w:val="70FE0C0F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4">
    <w:nsid w:val="7C245137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5">
    <w:nsid w:val="7E3768E2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26">
    <w:nsid w:val="7EC93145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7">
    <w:nsid w:val="7F4D1114"/>
    <w:lvl w:ilvl="0">
      <w:isLgl w:val="false"/>
      <w:lvlJc w:val="left"/>
      <w:lvlText w:val="%1"/>
      <w:numFmt w:val="decimal"/>
      <w:pPr>
        <w:pBdr/>
        <w:spacing/>
        <w:ind w:hanging="360" w:left="786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num w:numId="1">
    <w:abstractNumId w:val="15"/>
  </w:num>
  <w:num w:numId="2">
    <w:abstractNumId w:val="17"/>
  </w:num>
  <w:num w:numId="3">
    <w:abstractNumId w:val="1"/>
  </w:num>
  <w:num w:numId="4">
    <w:abstractNumId w:val="21"/>
  </w:num>
  <w:num w:numId="5">
    <w:abstractNumId w:val="3"/>
  </w:num>
  <w:num w:numId="6">
    <w:abstractNumId w:val="6"/>
  </w:num>
  <w:num w:numId="7">
    <w:abstractNumId w:val="10"/>
  </w:num>
  <w:num w:numId="8">
    <w:abstractNumId w:val="20"/>
  </w:num>
  <w:num w:numId="9">
    <w:abstractNumId w:val="24"/>
  </w:num>
  <w:num w:numId="10">
    <w:abstractNumId w:val="16"/>
  </w:num>
  <w:num w:numId="11">
    <w:abstractNumId w:val="23"/>
  </w:num>
  <w:num w:numId="12">
    <w:abstractNumId w:val="12"/>
  </w:num>
  <w:num w:numId="13">
    <w:abstractNumId w:val="4"/>
  </w:num>
  <w:num w:numId="14">
    <w:abstractNumId w:val="5"/>
  </w:num>
  <w:num w:numId="15">
    <w:abstractNumId w:val="8"/>
  </w:num>
  <w:num w:numId="16">
    <w:abstractNumId w:val="26"/>
  </w:num>
  <w:num w:numId="17">
    <w:abstractNumId w:val="19"/>
  </w:num>
  <w:num w:numId="18">
    <w:abstractNumId w:val="14"/>
  </w:num>
  <w:num w:numId="19">
    <w:abstractNumId w:val="0"/>
  </w:num>
  <w:num w:numId="20">
    <w:abstractNumId w:val="13"/>
  </w:num>
  <w:num w:numId="21">
    <w:abstractNumId w:val="9"/>
  </w:num>
  <w:num w:numId="22">
    <w:abstractNumId w:val="2"/>
  </w:num>
  <w:num w:numId="23">
    <w:abstractNumId w:val="7"/>
  </w:num>
  <w:num w:numId="24">
    <w:abstractNumId w:val="18"/>
  </w:num>
  <w:num w:numId="25">
    <w:abstractNumId w:val="25"/>
  </w:num>
  <w:num w:numId="26">
    <w:abstractNumId w:val="22"/>
  </w:num>
  <w:num w:numId="27">
    <w:abstractNumId w:val="1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42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ngXia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Table Grid Light"/>
    <w:basedOn w:val="11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Plain Table 1"/>
    <w:basedOn w:val="11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Plain Table 2"/>
    <w:basedOn w:val="11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Plain Table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Plain Table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Plain Table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Grid Table 1 Light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Grid Table 1 Light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Grid Table 1 Light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Grid Table 1 Light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Grid Table 1 Light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Grid Table 1 Light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Grid Table 1 Light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Grid Table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Grid Table 2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Grid Table 2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Grid Table 2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Grid Table 2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Grid Table 2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Grid Table 2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Grid Table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Grid Table 3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Grid Table 3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Grid Table 3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Grid Table 3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Grid Table 3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Grid Table 3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Grid Table 4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Grid Table 4 - Accent 1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Grid Table 4 - Accent 2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Grid Table 4 - Accent 3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Grid Table 4 - Accent 4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Grid Table 4 - Accent 5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Grid Table 4 - Accent 6"/>
    <w:basedOn w:val="11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Grid Table 5 Dark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Grid Table 5 Dark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Grid Table 5 Dark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>
    <w:name w:val="Grid Table 5 Dark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>
    <w:name w:val="Grid Table 5 Dark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>
    <w:name w:val="Grid Table 5 Dark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>
    <w:name w:val="Grid Table 5 Dark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>
    <w:name w:val="Grid Table 6 Colorful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9">
    <w:name w:val="Grid Table 6 Colorful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0">
    <w:name w:val="Grid Table 6 Colorful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1">
    <w:name w:val="Grid Table 6 Colorful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2">
    <w:name w:val="Grid Table 6 Colorful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3">
    <w:name w:val="Grid Table 6 Colorful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4">
    <w:name w:val="Grid Table 6 Colorful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5">
    <w:name w:val="Grid Table 7 Colorful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>
    <w:name w:val="Grid Table 7 Colorful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>
    <w:name w:val="Grid Table 7 Colorful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8">
    <w:name w:val="Grid Table 7 Colorful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>
    <w:name w:val="Grid Table 7 Colorful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0">
    <w:name w:val="Grid Table 7 Colorful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1">
    <w:name w:val="Grid Table 7 Colorful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2">
    <w:name w:val="List Table 1 Light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3">
    <w:name w:val="List Table 1 Light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4">
    <w:name w:val="List Table 1 Light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5">
    <w:name w:val="List Table 1 Light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6">
    <w:name w:val="List Table 1 Light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7">
    <w:name w:val="List Table 1 Light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8">
    <w:name w:val="List Table 1 Light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>
    <w:name w:val="List Table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0">
    <w:name w:val="List Table 2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1">
    <w:name w:val="List Table 2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2">
    <w:name w:val="List Table 2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3">
    <w:name w:val="List Table 2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4">
    <w:name w:val="List Table 2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5">
    <w:name w:val="List Table 2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6">
    <w:name w:val="List Table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7">
    <w:name w:val="List Table 3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8">
    <w:name w:val="List Table 3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9">
    <w:name w:val="List Table 3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0">
    <w:name w:val="List Table 3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1">
    <w:name w:val="List Table 3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2">
    <w:name w:val="List Table 3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3">
    <w:name w:val="List Table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4">
    <w:name w:val="List Table 4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5">
    <w:name w:val="List Table 4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6">
    <w:name w:val="List Table 4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7">
    <w:name w:val="List Table 4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8">
    <w:name w:val="List Table 4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9">
    <w:name w:val="List Table 4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0">
    <w:name w:val="List Table 5 Dark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1">
    <w:name w:val="List Table 5 Dark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2">
    <w:name w:val="List Table 5 Dark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3">
    <w:name w:val="List Table 5 Dark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4">
    <w:name w:val="List Table 5 Dark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5">
    <w:name w:val="List Table 5 Dark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6">
    <w:name w:val="List Table 5 Dark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97">
    <w:name w:val="List Table 6 Colorful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8">
    <w:name w:val="List Table 6 Colorful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9">
    <w:name w:val="List Table 6 Colorful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0">
    <w:name w:val="List Table 6 Colorful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1">
    <w:name w:val="List Table 6 Colorful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2">
    <w:name w:val="List Table 6 Colorful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3">
    <w:name w:val="List Table 6 Colorful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4">
    <w:name w:val="List Table 7 Colorful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05">
    <w:name w:val="List Table 7 Colorful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06">
    <w:name w:val="List Table 7 Colorful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07">
    <w:name w:val="List Table 7 Colorful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08">
    <w:name w:val="List Table 7 Colorful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09">
    <w:name w:val="List Table 7 Colorful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10">
    <w:name w:val="List Table 7 Colorful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11">
    <w:name w:val="Lined - Accent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2">
    <w:name w:val="Lined - Accent 1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3">
    <w:name w:val="Lined - Accent 2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4">
    <w:name w:val="Lined - Accent 3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5">
    <w:name w:val="Lined - Accent 4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6">
    <w:name w:val="Lined - Accent 5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7">
    <w:name w:val="Lined - Accent 6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8">
    <w:name w:val="Bordered &amp; Lined - Accent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9">
    <w:name w:val="Bordered &amp; Lined - Accent 1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0">
    <w:name w:val="Bordered &amp; Lined - Accent 2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1">
    <w:name w:val="Bordered &amp; Lined - Accent 3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2">
    <w:name w:val="Bordered &amp; Lined - Accent 4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3">
    <w:name w:val="Bordered &amp; Lined - Accent 5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4">
    <w:name w:val="Bordered &amp; Lined - Accent 6"/>
    <w:basedOn w:val="11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5">
    <w:name w:val="Bordered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6">
    <w:name w:val="Bordered - Accent 1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7">
    <w:name w:val="Bordered - Accent 2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8">
    <w:name w:val="Bordered - Accent 3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9">
    <w:name w:val="Bordered - Accent 4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0">
    <w:name w:val="Bordered - Accent 5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1">
    <w:name w:val="Bordered - Accent 6"/>
    <w:basedOn w:val="11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32">
    <w:name w:val="Heading 6"/>
    <w:basedOn w:val="1271"/>
    <w:next w:val="1271"/>
    <w:link w:val="12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233">
    <w:name w:val="Heading 7"/>
    <w:basedOn w:val="1271"/>
    <w:next w:val="1271"/>
    <w:link w:val="12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234">
    <w:name w:val="Heading 8"/>
    <w:basedOn w:val="1271"/>
    <w:next w:val="1271"/>
    <w:link w:val="12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235">
    <w:name w:val="Heading 9"/>
    <w:basedOn w:val="1271"/>
    <w:next w:val="1271"/>
    <w:link w:val="12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236">
    <w:name w:val="Heading 1 Char"/>
    <w:basedOn w:val="1277"/>
    <w:link w:val="12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237">
    <w:name w:val="Heading 2 Char"/>
    <w:basedOn w:val="1277"/>
    <w:link w:val="12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238">
    <w:name w:val="Heading 3 Char"/>
    <w:basedOn w:val="1277"/>
    <w:link w:val="12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239">
    <w:name w:val="Heading 6 Char"/>
    <w:basedOn w:val="1277"/>
    <w:link w:val="12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240">
    <w:name w:val="Heading 7 Char"/>
    <w:basedOn w:val="1277"/>
    <w:link w:val="12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241">
    <w:name w:val="Heading 8 Char"/>
    <w:basedOn w:val="1277"/>
    <w:link w:val="12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242">
    <w:name w:val="Heading 9 Char"/>
    <w:basedOn w:val="1277"/>
    <w:link w:val="12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243">
    <w:name w:val="Subtitle"/>
    <w:basedOn w:val="1271"/>
    <w:next w:val="1271"/>
    <w:link w:val="12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244">
    <w:name w:val="Subtitle Char"/>
    <w:basedOn w:val="1277"/>
    <w:link w:val="12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245">
    <w:name w:val="Quote"/>
    <w:basedOn w:val="1271"/>
    <w:next w:val="1271"/>
    <w:link w:val="12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246">
    <w:name w:val="Quote Char"/>
    <w:basedOn w:val="1277"/>
    <w:link w:val="12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247">
    <w:name w:val="List Paragraph"/>
    <w:basedOn w:val="1271"/>
    <w:uiPriority w:val="34"/>
    <w:qFormat/>
    <w:pPr>
      <w:pBdr/>
      <w:spacing/>
      <w:ind w:left="720"/>
      <w:contextualSpacing w:val="true"/>
    </w:pPr>
  </w:style>
  <w:style w:type="character" w:styleId="1248">
    <w:name w:val="Intense Emphasis"/>
    <w:basedOn w:val="12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249">
    <w:name w:val="Intense Quote"/>
    <w:basedOn w:val="1271"/>
    <w:next w:val="1271"/>
    <w:link w:val="12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250">
    <w:name w:val="Intense Quote Char"/>
    <w:basedOn w:val="1277"/>
    <w:link w:val="12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251">
    <w:name w:val="Intense Reference"/>
    <w:basedOn w:val="12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252">
    <w:name w:val="No Spacing"/>
    <w:basedOn w:val="1271"/>
    <w:uiPriority w:val="1"/>
    <w:qFormat/>
    <w:pPr>
      <w:pBdr/>
      <w:spacing w:after="0" w:line="240" w:lineRule="auto"/>
      <w:ind/>
    </w:pPr>
  </w:style>
  <w:style w:type="character" w:styleId="1253">
    <w:name w:val="Subtle Emphasis"/>
    <w:basedOn w:val="12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254">
    <w:name w:val="Strong"/>
    <w:basedOn w:val="1277"/>
    <w:uiPriority w:val="22"/>
    <w:qFormat/>
    <w:pPr>
      <w:pBdr/>
      <w:spacing/>
      <w:ind/>
    </w:pPr>
    <w:rPr>
      <w:b/>
      <w:bCs/>
    </w:rPr>
  </w:style>
  <w:style w:type="character" w:styleId="1255">
    <w:name w:val="Subtle Reference"/>
    <w:basedOn w:val="12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256">
    <w:name w:val="Book Title"/>
    <w:basedOn w:val="12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257">
    <w:name w:val="Caption"/>
    <w:basedOn w:val="1271"/>
    <w:next w:val="12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258">
    <w:name w:val="Footnote Text Char"/>
    <w:basedOn w:val="1277"/>
    <w:link w:val="1296"/>
    <w:uiPriority w:val="99"/>
    <w:semiHidden/>
    <w:pPr>
      <w:pBdr/>
      <w:spacing/>
      <w:ind/>
    </w:pPr>
    <w:rPr>
      <w:sz w:val="20"/>
      <w:szCs w:val="20"/>
    </w:rPr>
  </w:style>
  <w:style w:type="paragraph" w:styleId="1259">
    <w:name w:val="toc 1"/>
    <w:basedOn w:val="1271"/>
    <w:next w:val="1271"/>
    <w:uiPriority w:val="39"/>
    <w:unhideWhenUsed/>
    <w:pPr>
      <w:pBdr/>
      <w:spacing w:after="100"/>
      <w:ind/>
    </w:pPr>
  </w:style>
  <w:style w:type="paragraph" w:styleId="1260">
    <w:name w:val="toc 2"/>
    <w:basedOn w:val="1271"/>
    <w:next w:val="1271"/>
    <w:uiPriority w:val="39"/>
    <w:unhideWhenUsed/>
    <w:pPr>
      <w:pBdr/>
      <w:spacing w:after="100"/>
      <w:ind w:left="220"/>
    </w:pPr>
  </w:style>
  <w:style w:type="paragraph" w:styleId="1261">
    <w:name w:val="toc 3"/>
    <w:basedOn w:val="1271"/>
    <w:next w:val="1271"/>
    <w:uiPriority w:val="39"/>
    <w:unhideWhenUsed/>
    <w:pPr>
      <w:pBdr/>
      <w:spacing w:after="100"/>
      <w:ind w:left="440"/>
    </w:pPr>
  </w:style>
  <w:style w:type="paragraph" w:styleId="1262">
    <w:name w:val="toc 4"/>
    <w:basedOn w:val="1271"/>
    <w:next w:val="1271"/>
    <w:uiPriority w:val="39"/>
    <w:unhideWhenUsed/>
    <w:pPr>
      <w:pBdr/>
      <w:spacing w:after="100"/>
      <w:ind w:left="660"/>
    </w:pPr>
  </w:style>
  <w:style w:type="paragraph" w:styleId="1263">
    <w:name w:val="toc 5"/>
    <w:basedOn w:val="1271"/>
    <w:next w:val="1271"/>
    <w:uiPriority w:val="39"/>
    <w:unhideWhenUsed/>
    <w:pPr>
      <w:pBdr/>
      <w:spacing w:after="100"/>
      <w:ind w:left="880"/>
    </w:pPr>
  </w:style>
  <w:style w:type="paragraph" w:styleId="1264">
    <w:name w:val="toc 6"/>
    <w:basedOn w:val="1271"/>
    <w:next w:val="1271"/>
    <w:uiPriority w:val="39"/>
    <w:unhideWhenUsed/>
    <w:pPr>
      <w:pBdr/>
      <w:spacing w:after="100"/>
      <w:ind w:left="1100"/>
    </w:pPr>
  </w:style>
  <w:style w:type="paragraph" w:styleId="1265">
    <w:name w:val="toc 7"/>
    <w:basedOn w:val="1271"/>
    <w:next w:val="1271"/>
    <w:uiPriority w:val="39"/>
    <w:unhideWhenUsed/>
    <w:pPr>
      <w:pBdr/>
      <w:spacing w:after="100"/>
      <w:ind w:left="1320"/>
    </w:pPr>
  </w:style>
  <w:style w:type="paragraph" w:styleId="1266">
    <w:name w:val="toc 8"/>
    <w:basedOn w:val="1271"/>
    <w:next w:val="1271"/>
    <w:uiPriority w:val="39"/>
    <w:unhideWhenUsed/>
    <w:pPr>
      <w:pBdr/>
      <w:spacing w:after="100"/>
      <w:ind w:left="1540"/>
    </w:pPr>
  </w:style>
  <w:style w:type="paragraph" w:styleId="1267">
    <w:name w:val="toc 9"/>
    <w:basedOn w:val="1271"/>
    <w:next w:val="1271"/>
    <w:uiPriority w:val="39"/>
    <w:unhideWhenUsed/>
    <w:pPr>
      <w:pBdr/>
      <w:spacing w:after="100"/>
      <w:ind w:left="1760"/>
    </w:pPr>
  </w:style>
  <w:style w:type="character" w:styleId="1268">
    <w:name w:val="Placeholder Text"/>
    <w:basedOn w:val="1277"/>
    <w:uiPriority w:val="99"/>
    <w:semiHidden/>
    <w:pPr>
      <w:pBdr/>
      <w:spacing/>
      <w:ind/>
    </w:pPr>
    <w:rPr>
      <w:color w:val="666666"/>
    </w:rPr>
  </w:style>
  <w:style w:type="paragraph" w:styleId="1269">
    <w:name w:val="TOC Heading"/>
    <w:uiPriority w:val="39"/>
    <w:unhideWhenUsed/>
    <w:pPr>
      <w:pBdr/>
      <w:spacing/>
      <w:ind/>
    </w:pPr>
  </w:style>
  <w:style w:type="paragraph" w:styleId="1270">
    <w:name w:val="table of figures"/>
    <w:basedOn w:val="1271"/>
    <w:next w:val="1271"/>
    <w:uiPriority w:val="99"/>
    <w:unhideWhenUsed/>
    <w:pPr>
      <w:pBdr/>
      <w:spacing w:after="0" w:afterAutospacing="0"/>
      <w:ind/>
    </w:pPr>
  </w:style>
  <w:style w:type="paragraph" w:styleId="1271" w:default="1">
    <w:name w:val="Normal"/>
    <w:next w:val="1271"/>
    <w:link w:val="1271"/>
    <w:qFormat/>
    <w:pPr>
      <w:pBdr/>
      <w:spacing w:after="120" w:before="240" w:line="260" w:lineRule="exact"/>
      <w:ind w:right="288"/>
      <w:jc w:val="both"/>
    </w:pPr>
    <w:rPr>
      <w:sz w:val="24"/>
      <w:szCs w:val="24"/>
      <w:lang w:val="en-US" w:eastAsia="en-US" w:bidi="ar-SA"/>
    </w:rPr>
  </w:style>
  <w:style w:type="paragraph" w:styleId="1272">
    <w:name w:val="Heading 1"/>
    <w:basedOn w:val="1271"/>
    <w:next w:val="1271"/>
    <w:link w:val="1271"/>
    <w:qFormat/>
    <w:pPr>
      <w:pBdr/>
      <w:spacing/>
      <w:ind/>
      <w:outlineLvl w:val="0"/>
    </w:pPr>
    <w:rPr>
      <w:b/>
      <w:sz w:val="20"/>
    </w:rPr>
  </w:style>
  <w:style w:type="paragraph" w:styleId="1273">
    <w:name w:val="Heading 2"/>
    <w:basedOn w:val="1271"/>
    <w:next w:val="1271"/>
    <w:link w:val="1271"/>
    <w:qFormat/>
    <w:pPr>
      <w:keepNext w:val="true"/>
      <w:pBdr/>
      <w:spacing w:after="60"/>
      <w:ind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1274">
    <w:name w:val="Heading 3"/>
    <w:basedOn w:val="1271"/>
    <w:next w:val="1271"/>
    <w:link w:val="1271"/>
    <w:qFormat/>
    <w:pPr>
      <w:keepNext w:val="true"/>
      <w:pBdr/>
      <w:spacing w:after="60"/>
      <w:ind/>
      <w:outlineLvl w:val="2"/>
    </w:pPr>
    <w:rPr>
      <w:rFonts w:ascii="Arial" w:hAnsi="Arial" w:cs="Arial"/>
      <w:b/>
      <w:bCs/>
      <w:sz w:val="26"/>
      <w:szCs w:val="26"/>
    </w:rPr>
  </w:style>
  <w:style w:type="paragraph" w:styleId="1275">
    <w:name w:val="Heading 4"/>
    <w:basedOn w:val="1271"/>
    <w:next w:val="1271"/>
    <w:link w:val="1328"/>
    <w:uiPriority w:val="9"/>
    <w:semiHidden/>
    <w:unhideWhenUsed/>
    <w:qFormat/>
    <w:pPr>
      <w:keepNext w:val="true"/>
      <w:pBdr/>
      <w:spacing w:after="60"/>
      <w:ind/>
      <w:outlineLvl w:val="3"/>
    </w:pPr>
    <w:rPr>
      <w:rFonts w:ascii="Aptos" w:hAnsi="Aptos" w:eastAsia="DengXian" w:cs="Times New Roman"/>
      <w:b/>
      <w:bCs/>
      <w:sz w:val="28"/>
      <w:szCs w:val="28"/>
    </w:rPr>
  </w:style>
  <w:style w:type="paragraph" w:styleId="1276">
    <w:name w:val="Heading 5"/>
    <w:basedOn w:val="1271"/>
    <w:next w:val="1271"/>
    <w:link w:val="1322"/>
    <w:uiPriority w:val="9"/>
    <w:qFormat/>
    <w:pPr>
      <w:pBdr/>
      <w:spacing w:after="60"/>
      <w:ind/>
      <w:outlineLvl w:val="4"/>
    </w:pPr>
    <w:rPr>
      <w:rFonts w:ascii="Calibri" w:hAnsi="Calibri" w:cs="Angsana New"/>
      <w:b/>
      <w:bCs/>
      <w:i/>
      <w:iCs/>
      <w:sz w:val="26"/>
      <w:szCs w:val="26"/>
      <w:lang w:val="en-US" w:eastAsia="en-US" w:bidi="th-TH"/>
    </w:rPr>
  </w:style>
  <w:style w:type="character" w:styleId="1277" w:default="1">
    <w:name w:val="Default Paragraph Font"/>
    <w:next w:val="1277"/>
    <w:link w:val="1271"/>
    <w:uiPriority w:val="1"/>
    <w:unhideWhenUsed/>
    <w:pPr>
      <w:pBdr/>
      <w:spacing/>
      <w:ind/>
    </w:pPr>
  </w:style>
  <w:style w:type="table" w:styleId="1278">
    <w:name w:val="Table Normal"/>
    <w:next w:val="1278"/>
    <w:link w:val="127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79" w:default="1">
    <w:name w:val="No List"/>
    <w:next w:val="1279"/>
    <w:link w:val="1271"/>
    <w:uiPriority w:val="99"/>
    <w:semiHidden/>
    <w:unhideWhenUsed/>
    <w:pPr>
      <w:pBdr/>
      <w:spacing/>
      <w:ind/>
    </w:pPr>
  </w:style>
  <w:style w:type="paragraph" w:styleId="1280">
    <w:name w:val="Journal Title"/>
    <w:basedOn w:val="1271"/>
    <w:next w:val="1280"/>
    <w:link w:val="1271"/>
    <w:pPr>
      <w:pBdr/>
      <w:spacing w:after="400" w:before="1000" w:line="240" w:lineRule="exact"/>
      <w:ind/>
      <w:jc w:val="center"/>
    </w:pPr>
    <w:rPr>
      <w:b/>
      <w:caps/>
      <w:sz w:val="20"/>
    </w:rPr>
  </w:style>
  <w:style w:type="paragraph" w:styleId="1281">
    <w:name w:val="Affiliation"/>
    <w:basedOn w:val="1271"/>
    <w:next w:val="1281"/>
    <w:link w:val="1271"/>
    <w:pPr>
      <w:pBdr/>
      <w:spacing w:after="240"/>
      <w:ind/>
      <w:jc w:val="center"/>
    </w:pPr>
    <w:rPr>
      <w:i/>
      <w:sz w:val="16"/>
    </w:rPr>
  </w:style>
  <w:style w:type="paragraph" w:styleId="1282">
    <w:name w:val="Author"/>
    <w:basedOn w:val="1271"/>
    <w:next w:val="1282"/>
    <w:link w:val="1271"/>
    <w:pPr>
      <w:pBdr/>
      <w:spacing w:after="100" w:before="40"/>
      <w:ind/>
      <w:jc w:val="center"/>
    </w:pPr>
    <w:rPr>
      <w:sz w:val="16"/>
    </w:rPr>
  </w:style>
  <w:style w:type="paragraph" w:styleId="1283">
    <w:name w:val="Abstract"/>
    <w:basedOn w:val="1271"/>
    <w:next w:val="1283"/>
    <w:link w:val="1271"/>
    <w:pPr>
      <w:pBdr/>
      <w:tabs>
        <w:tab w:val="right" w:leader="none" w:pos="7200"/>
      </w:tabs>
      <w:spacing w:line="200" w:lineRule="exact"/>
      <w:ind w:right="360" w:left="360"/>
    </w:pPr>
    <w:rPr>
      <w:sz w:val="16"/>
    </w:rPr>
  </w:style>
  <w:style w:type="paragraph" w:styleId="1284">
    <w:name w:val="keywords"/>
    <w:basedOn w:val="1283"/>
    <w:next w:val="1284"/>
    <w:link w:val="1271"/>
    <w:pPr>
      <w:pBdr/>
      <w:spacing w:before="120"/>
      <w:ind/>
    </w:pPr>
    <w:rPr>
      <w:szCs w:val="20"/>
    </w:rPr>
  </w:style>
  <w:style w:type="paragraph" w:styleId="1285">
    <w:name w:val="Text"/>
    <w:basedOn w:val="1271"/>
    <w:next w:val="1285"/>
    <w:link w:val="1286"/>
    <w:pPr>
      <w:pBdr/>
      <w:tabs>
        <w:tab w:val="right" w:leader="none" w:pos="7200"/>
      </w:tabs>
      <w:spacing/>
      <w:ind/>
    </w:pPr>
    <w:rPr>
      <w:sz w:val="20"/>
    </w:rPr>
  </w:style>
  <w:style w:type="character" w:styleId="1286">
    <w:name w:val="Text Char"/>
    <w:next w:val="1286"/>
    <w:link w:val="1285"/>
    <w:pPr>
      <w:pBdr/>
      <w:spacing/>
      <w:ind/>
    </w:pPr>
    <w:rPr>
      <w:szCs w:val="24"/>
      <w:lang w:val="en-US" w:eastAsia="en-US" w:bidi="ar-SA"/>
    </w:rPr>
  </w:style>
  <w:style w:type="paragraph" w:styleId="1287">
    <w:name w:val="List"/>
    <w:basedOn w:val="1271"/>
    <w:next w:val="1287"/>
    <w:link w:val="1271"/>
    <w:pPr>
      <w:numPr>
        <w:numId w:val="1"/>
      </w:numPr>
      <w:pBdr/>
      <w:tabs>
        <w:tab w:val="clear" w:leader="none" w:pos="360"/>
      </w:tabs>
      <w:spacing w:line="240" w:lineRule="exact"/>
      <w:ind/>
    </w:pPr>
    <w:rPr>
      <w:sz w:val="20"/>
    </w:rPr>
  </w:style>
  <w:style w:type="paragraph" w:styleId="1288">
    <w:name w:val="AList"/>
    <w:basedOn w:val="1271"/>
    <w:next w:val="1288"/>
    <w:link w:val="1271"/>
    <w:pPr>
      <w:numPr>
        <w:numId w:val="2"/>
      </w:numPr>
      <w:pBdr/>
      <w:spacing w:line="240" w:lineRule="exact"/>
      <w:ind/>
    </w:pPr>
    <w:rPr>
      <w:sz w:val="20"/>
    </w:rPr>
  </w:style>
  <w:style w:type="paragraph" w:styleId="1289">
    <w:name w:val="NList"/>
    <w:basedOn w:val="1287"/>
    <w:next w:val="1289"/>
    <w:link w:val="1271"/>
    <w:pPr>
      <w:numPr>
        <w:numId w:val="3"/>
      </w:numPr>
      <w:pBdr/>
      <w:spacing/>
      <w:ind/>
    </w:pPr>
  </w:style>
  <w:style w:type="paragraph" w:styleId="1290">
    <w:name w:val="Text Indent"/>
    <w:next w:val="1290"/>
    <w:link w:val="1271"/>
    <w:pPr>
      <w:pBdr/>
      <w:spacing w:after="120" w:before="240" w:line="260" w:lineRule="exact"/>
      <w:ind w:right="288" w:firstLine="302"/>
      <w:jc w:val="both"/>
    </w:pPr>
    <w:rPr>
      <w:lang w:val="en-US" w:eastAsia="en-US" w:bidi="ar-SA"/>
    </w:rPr>
  </w:style>
  <w:style w:type="paragraph" w:styleId="1291">
    <w:name w:val="Code"/>
    <w:basedOn w:val="1285"/>
    <w:next w:val="1291"/>
    <w:link w:val="1271"/>
    <w:pPr>
      <w:pBdr/>
      <w:tabs>
        <w:tab w:val="left" w:leader="none" w:pos="360"/>
        <w:tab w:val="left" w:leader="none" w:pos="720"/>
        <w:tab w:val="left" w:leader="none" w:pos="1080"/>
        <w:tab w:val="left" w:leader="none" w:pos="1440"/>
        <w:tab w:val="clear" w:leader="none" w:pos="7200"/>
      </w:tabs>
      <w:spacing/>
      <w:ind/>
    </w:pPr>
    <w:rPr>
      <w:rFonts w:ascii="Courier New" w:hAnsi="Courier New" w:cs="Courier New"/>
    </w:rPr>
  </w:style>
  <w:style w:type="paragraph" w:styleId="1292">
    <w:name w:val="Figure caption"/>
    <w:basedOn w:val="1290"/>
    <w:next w:val="1292"/>
    <w:link w:val="1271"/>
    <w:pPr>
      <w:pBdr/>
      <w:spacing/>
      <w:ind/>
    </w:pPr>
    <w:rPr>
      <w:sz w:val="16"/>
      <w:szCs w:val="16"/>
    </w:rPr>
  </w:style>
  <w:style w:type="paragraph" w:styleId="1293">
    <w:name w:val="Table"/>
    <w:basedOn w:val="1285"/>
    <w:next w:val="1293"/>
    <w:link w:val="1271"/>
    <w:pPr>
      <w:pBdr/>
      <w:spacing w:line="220" w:lineRule="exact"/>
      <w:ind w:right="-155" w:left="-86"/>
      <w:jc w:val="left"/>
    </w:pPr>
    <w:rPr>
      <w:sz w:val="16"/>
    </w:rPr>
  </w:style>
  <w:style w:type="paragraph" w:styleId="1294">
    <w:name w:val="Table Caption"/>
    <w:basedOn w:val="1271"/>
    <w:next w:val="1294"/>
    <w:link w:val="1271"/>
    <w:pPr>
      <w:pBdr/>
      <w:spacing w:before="320" w:line="200" w:lineRule="exact"/>
      <w:ind/>
      <w:jc w:val="center"/>
    </w:pPr>
    <w:rPr>
      <w:sz w:val="16"/>
    </w:rPr>
  </w:style>
  <w:style w:type="character" w:styleId="1295">
    <w:name w:val="footnote reference"/>
    <w:next w:val="1295"/>
    <w:link w:val="1271"/>
    <w:semiHidden/>
    <w:pPr>
      <w:pBdr/>
      <w:spacing/>
      <w:ind/>
    </w:pPr>
    <w:rPr>
      <w:vertAlign w:val="superscript"/>
    </w:rPr>
  </w:style>
  <w:style w:type="paragraph" w:styleId="1296">
    <w:name w:val="footnote text"/>
    <w:basedOn w:val="1271"/>
    <w:next w:val="1296"/>
    <w:link w:val="1271"/>
    <w:semiHidden/>
    <w:pPr>
      <w:pBdr/>
      <w:spacing w:line="200" w:lineRule="exact"/>
      <w:ind/>
    </w:pPr>
    <w:rPr>
      <w:sz w:val="16"/>
    </w:rPr>
  </w:style>
  <w:style w:type="paragraph" w:styleId="1297">
    <w:name w:val="Appendix 1"/>
    <w:basedOn w:val="1271"/>
    <w:next w:val="1271"/>
    <w:link w:val="1271"/>
    <w:pPr>
      <w:keepNext w:val="true"/>
      <w:keepLines w:val="true"/>
      <w:numPr>
        <w:numId w:val="4"/>
      </w:numPr>
      <w:pBdr/>
      <w:tabs>
        <w:tab w:val="num" w:leader="none" w:pos="360"/>
      </w:tabs>
      <w:spacing w:after="80" w:before="200"/>
      <w:ind w:hanging="360" w:left="360"/>
      <w:outlineLvl w:val="0"/>
    </w:pPr>
    <w:rPr>
      <w:b/>
      <w:sz w:val="20"/>
    </w:rPr>
  </w:style>
  <w:style w:type="paragraph" w:styleId="1298">
    <w:name w:val="Appendix 2"/>
    <w:basedOn w:val="1297"/>
    <w:next w:val="1271"/>
    <w:link w:val="1271"/>
    <w:pPr>
      <w:numPr>
        <w:ilvl w:val="1"/>
      </w:numPr>
      <w:pBdr/>
      <w:tabs>
        <w:tab w:val="num" w:leader="none" w:pos="360"/>
      </w:tabs>
      <w:spacing/>
      <w:ind w:hanging="360" w:left="360"/>
      <w:outlineLvl w:val="1"/>
    </w:pPr>
    <w:rPr>
      <w:i/>
    </w:rPr>
  </w:style>
  <w:style w:type="paragraph" w:styleId="1299">
    <w:name w:val="Appendix 3"/>
    <w:basedOn w:val="1298"/>
    <w:next w:val="1271"/>
    <w:link w:val="1271"/>
    <w:pPr>
      <w:numPr>
        <w:ilvl w:val="2"/>
      </w:numPr>
      <w:pBdr/>
      <w:tabs>
        <w:tab w:val="num" w:leader="none" w:pos="360"/>
      </w:tabs>
      <w:spacing/>
      <w:ind w:hanging="360" w:left="360"/>
      <w:outlineLvl w:val="2"/>
    </w:pPr>
    <w:rPr>
      <w:b w:val="0"/>
    </w:rPr>
  </w:style>
  <w:style w:type="paragraph" w:styleId="1300">
    <w:name w:val="Equation"/>
    <w:basedOn w:val="1271"/>
    <w:next w:val="1271"/>
    <w:link w:val="1271"/>
    <w:pPr>
      <w:pBdr/>
      <w:tabs>
        <w:tab w:val="center" w:leader="none" w:pos="3600"/>
        <w:tab w:val="right" w:leader="none" w:pos="7200"/>
      </w:tabs>
      <w:spacing w:before="120"/>
      <w:ind/>
    </w:pPr>
    <w:rPr>
      <w:sz w:val="20"/>
    </w:rPr>
  </w:style>
  <w:style w:type="paragraph" w:styleId="1301">
    <w:name w:val="itemlist"/>
    <w:basedOn w:val="1271"/>
    <w:next w:val="1301"/>
    <w:link w:val="1271"/>
    <w:pPr>
      <w:numPr>
        <w:numId w:val="5"/>
      </w:numPr>
      <w:pBdr/>
      <w:tabs>
        <w:tab w:val="left" w:leader="none" w:pos="274"/>
        <w:tab w:val="clear" w:leader="none" w:pos="360"/>
      </w:tabs>
      <w:spacing w:line="240" w:lineRule="exact"/>
      <w:ind w:hanging="300" w:left="300"/>
    </w:pPr>
    <w:rPr>
      <w:sz w:val="20"/>
    </w:rPr>
  </w:style>
  <w:style w:type="paragraph" w:styleId="1302">
    <w:name w:val="Reference"/>
    <w:basedOn w:val="1271"/>
    <w:next w:val="1302"/>
    <w:link w:val="1271"/>
    <w:pPr>
      <w:pBdr/>
      <w:tabs>
        <w:tab w:val="left" w:leader="none" w:pos="7740"/>
      </w:tabs>
      <w:spacing w:after="0" w:before="0" w:line="240" w:lineRule="auto"/>
      <w:ind w:right="0" w:hanging="180" w:left="180"/>
    </w:pPr>
    <w:rPr>
      <w:sz w:val="18"/>
    </w:rPr>
  </w:style>
  <w:style w:type="paragraph" w:styleId="1303">
    <w:name w:val="Header"/>
    <w:basedOn w:val="1271"/>
    <w:next w:val="1303"/>
    <w:link w:val="1304"/>
    <w:uiPriority w:val="99"/>
    <w:pPr>
      <w:pBdr/>
      <w:tabs>
        <w:tab w:val="center" w:leader="none" w:pos="4680"/>
        <w:tab w:val="right" w:leader="none" w:pos="9360"/>
      </w:tabs>
      <w:spacing/>
      <w:ind/>
    </w:pPr>
    <w:rPr>
      <w:rFonts w:cs="Angsana New"/>
      <w:lang w:val="en-US" w:eastAsia="en-US" w:bidi="th-TH"/>
    </w:rPr>
  </w:style>
  <w:style w:type="character" w:styleId="1304">
    <w:name w:val="Header Char"/>
    <w:next w:val="1304"/>
    <w:link w:val="1303"/>
    <w:uiPriority w:val="99"/>
    <w:pPr>
      <w:pBdr/>
      <w:spacing/>
      <w:ind/>
    </w:pPr>
    <w:rPr>
      <w:sz w:val="24"/>
      <w:szCs w:val="24"/>
    </w:rPr>
  </w:style>
  <w:style w:type="paragraph" w:styleId="1305">
    <w:name w:val="Footer"/>
    <w:basedOn w:val="1271"/>
    <w:next w:val="1305"/>
    <w:link w:val="1306"/>
    <w:uiPriority w:val="99"/>
    <w:pPr>
      <w:pBdr/>
      <w:tabs>
        <w:tab w:val="center" w:leader="none" w:pos="4680"/>
        <w:tab w:val="right" w:leader="none" w:pos="9360"/>
      </w:tabs>
      <w:spacing/>
      <w:ind/>
    </w:pPr>
    <w:rPr>
      <w:rFonts w:cs="Angsana New"/>
      <w:lang w:val="en-US" w:eastAsia="en-US" w:bidi="th-TH"/>
    </w:rPr>
  </w:style>
  <w:style w:type="character" w:styleId="1306">
    <w:name w:val="Footer Char"/>
    <w:next w:val="1306"/>
    <w:link w:val="1305"/>
    <w:uiPriority w:val="99"/>
    <w:pPr>
      <w:pBdr/>
      <w:spacing/>
      <w:ind/>
    </w:pPr>
    <w:rPr>
      <w:sz w:val="24"/>
      <w:szCs w:val="24"/>
    </w:rPr>
  </w:style>
  <w:style w:type="character" w:styleId="1307">
    <w:name w:val="Emphasis"/>
    <w:next w:val="1307"/>
    <w:link w:val="1271"/>
    <w:qFormat/>
    <w:pPr>
      <w:pBdr/>
      <w:spacing/>
      <w:ind/>
    </w:pPr>
    <w:rPr>
      <w:i/>
      <w:iCs/>
    </w:rPr>
  </w:style>
  <w:style w:type="paragraph" w:styleId="1308">
    <w:name w:val="Title"/>
    <w:basedOn w:val="1271"/>
    <w:next w:val="1271"/>
    <w:link w:val="1309"/>
    <w:qFormat/>
    <w:pPr>
      <w:pBdr/>
      <w:spacing w:after="60"/>
      <w:ind/>
      <w:jc w:val="center"/>
      <w:outlineLvl w:val="0"/>
    </w:pPr>
    <w:rPr>
      <w:rFonts w:ascii="Cambria" w:hAnsi="Cambria" w:cs="Angsana New"/>
      <w:b/>
      <w:bCs/>
      <w:sz w:val="32"/>
      <w:szCs w:val="32"/>
      <w:lang w:val="en-US" w:eastAsia="en-US" w:bidi="th-TH"/>
    </w:rPr>
  </w:style>
  <w:style w:type="character" w:styleId="1309">
    <w:name w:val="Title Char"/>
    <w:next w:val="1309"/>
    <w:link w:val="1308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1310">
    <w:name w:val="Balloon Text"/>
    <w:basedOn w:val="1271"/>
    <w:next w:val="1310"/>
    <w:link w:val="1311"/>
    <w:pPr>
      <w:pBdr/>
      <w:spacing w:after="0" w:before="0" w:line="240" w:lineRule="auto"/>
      <w:ind/>
    </w:pPr>
    <w:rPr>
      <w:rFonts w:ascii="Tahoma" w:hAnsi="Tahoma" w:cs="Angsana New"/>
      <w:sz w:val="16"/>
      <w:szCs w:val="16"/>
      <w:lang w:val="en-US" w:eastAsia="en-US" w:bidi="th-TH"/>
    </w:rPr>
  </w:style>
  <w:style w:type="character" w:styleId="1311">
    <w:name w:val="Balloon Text Char"/>
    <w:next w:val="1311"/>
    <w:link w:val="1310"/>
    <w:pPr>
      <w:pBdr/>
      <w:spacing/>
      <w:ind/>
    </w:pPr>
    <w:rPr>
      <w:rFonts w:ascii="Tahoma" w:hAnsi="Tahoma" w:cs="Tahoma"/>
      <w:sz w:val="16"/>
      <w:szCs w:val="16"/>
    </w:rPr>
  </w:style>
  <w:style w:type="character" w:styleId="1312">
    <w:name w:val="Hyperlink"/>
    <w:next w:val="1312"/>
    <w:link w:val="1271"/>
    <w:pPr>
      <w:pBdr/>
      <w:spacing/>
      <w:ind/>
    </w:pPr>
    <w:rPr>
      <w:color w:val="0000ff"/>
      <w:u w:val="single"/>
    </w:rPr>
  </w:style>
  <w:style w:type="table" w:styleId="1313">
    <w:name w:val="Table Grid"/>
    <w:basedOn w:val="1278"/>
    <w:next w:val="1313"/>
    <w:link w:val="1271"/>
    <w:pPr>
      <w:pBdr/>
      <w:spacing w:after="120" w:before="240" w:line="260" w:lineRule="exact"/>
      <w:ind w:right="288"/>
      <w:jc w:val="both"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314">
    <w:name w:val="Comment Reference"/>
    <w:next w:val="1314"/>
    <w:link w:val="127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15">
    <w:name w:val="Comment Text"/>
    <w:basedOn w:val="1271"/>
    <w:next w:val="1315"/>
    <w:link w:val="1316"/>
    <w:uiPriority w:val="99"/>
    <w:semiHidden/>
    <w:unhideWhenUsed/>
    <w:pPr>
      <w:pBdr/>
      <w:spacing/>
      <w:ind/>
    </w:pPr>
    <w:rPr>
      <w:rFonts w:cs="Angsana New"/>
      <w:sz w:val="20"/>
      <w:szCs w:val="20"/>
      <w:lang w:val="en-US" w:bidi="th-TH"/>
    </w:rPr>
  </w:style>
  <w:style w:type="character" w:styleId="1316">
    <w:name w:val="Comment Text Char"/>
    <w:next w:val="1316"/>
    <w:link w:val="1315"/>
    <w:uiPriority w:val="99"/>
    <w:semiHidden/>
    <w:pPr>
      <w:pBdr/>
      <w:spacing/>
      <w:ind/>
    </w:pPr>
    <w:rPr>
      <w:lang w:eastAsia="en-US"/>
    </w:rPr>
  </w:style>
  <w:style w:type="paragraph" w:styleId="1317">
    <w:name w:val="Comment Subject"/>
    <w:basedOn w:val="1315"/>
    <w:next w:val="1315"/>
    <w:link w:val="1318"/>
    <w:uiPriority w:val="99"/>
    <w:semiHidden/>
    <w:unhideWhenUsed/>
    <w:pPr>
      <w:pBdr/>
      <w:spacing/>
      <w:ind/>
    </w:pPr>
    <w:rPr>
      <w:b/>
      <w:bCs/>
    </w:rPr>
  </w:style>
  <w:style w:type="character" w:styleId="1318">
    <w:name w:val="Comment Subject Char"/>
    <w:next w:val="1318"/>
    <w:link w:val="1317"/>
    <w:uiPriority w:val="99"/>
    <w:semiHidden/>
    <w:pPr>
      <w:pBdr/>
      <w:spacing/>
      <w:ind/>
    </w:pPr>
    <w:rPr>
      <w:b/>
      <w:bCs/>
      <w:lang w:eastAsia="en-US"/>
    </w:rPr>
  </w:style>
  <w:style w:type="paragraph" w:styleId="1319">
    <w:name w:val="endnote text"/>
    <w:basedOn w:val="1271"/>
    <w:next w:val="1319"/>
    <w:link w:val="1320"/>
    <w:uiPriority w:val="99"/>
    <w:semiHidden/>
    <w:unhideWhenUsed/>
    <w:pPr>
      <w:pBdr/>
      <w:spacing/>
      <w:ind/>
    </w:pPr>
    <w:rPr>
      <w:rFonts w:cs="Angsana New"/>
      <w:lang w:val="en-US" w:eastAsia="en-US" w:bidi="th-TH"/>
    </w:rPr>
  </w:style>
  <w:style w:type="character" w:styleId="1320">
    <w:name w:val="Endnote Text Char"/>
    <w:next w:val="1320"/>
    <w:link w:val="1319"/>
    <w:uiPriority w:val="99"/>
    <w:semiHidden/>
    <w:pPr>
      <w:pBdr/>
      <w:spacing/>
      <w:ind/>
    </w:pPr>
    <w:rPr>
      <w:sz w:val="24"/>
      <w:szCs w:val="24"/>
    </w:rPr>
  </w:style>
  <w:style w:type="character" w:styleId="1321">
    <w:name w:val="endnote reference"/>
    <w:next w:val="1321"/>
    <w:link w:val="1271"/>
    <w:uiPriority w:val="99"/>
    <w:semiHidden/>
    <w:unhideWhenUsed/>
    <w:pPr>
      <w:pBdr/>
      <w:spacing/>
      <w:ind/>
    </w:pPr>
    <w:rPr>
      <w:vertAlign w:val="superscript"/>
    </w:rPr>
  </w:style>
  <w:style w:type="character" w:styleId="1322">
    <w:name w:val="Heading 5 Char"/>
    <w:next w:val="1322"/>
    <w:link w:val="1276"/>
    <w:uiPriority w:val="9"/>
    <w:semiHidden/>
    <w:pPr>
      <w:pBdr/>
      <w:spacing/>
      <w:ind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1323">
    <w:name w:val="FollowedHyperlink"/>
    <w:next w:val="1323"/>
    <w:link w:val="1271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1324">
    <w:name w:val="Medium Grid 3 - Accent 51"/>
    <w:next w:val="1324"/>
    <w:link w:val="1271"/>
    <w:hidden/>
    <w:uiPriority w:val="71"/>
    <w:pPr>
      <w:pBdr/>
      <w:spacing/>
      <w:ind/>
    </w:pPr>
    <w:rPr>
      <w:sz w:val="24"/>
      <w:szCs w:val="24"/>
      <w:lang w:val="en-US" w:eastAsia="en-US" w:bidi="ar-SA"/>
    </w:rPr>
  </w:style>
  <w:style w:type="character" w:styleId="1325">
    <w:name w:val="il"/>
    <w:basedOn w:val="1277"/>
    <w:next w:val="1325"/>
    <w:link w:val="1271"/>
    <w:pPr>
      <w:pBdr/>
      <w:spacing/>
      <w:ind/>
    </w:pPr>
  </w:style>
  <w:style w:type="character" w:styleId="1326">
    <w:name w:val="Unresolved Mention1"/>
    <w:next w:val="1326"/>
    <w:link w:val="127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327">
    <w:name w:val="Unresolved Mention"/>
    <w:next w:val="1327"/>
    <w:link w:val="127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328">
    <w:name w:val="Heading 4 Char"/>
    <w:next w:val="1328"/>
    <w:link w:val="1275"/>
    <w:uiPriority w:val="9"/>
    <w:semiHidden/>
    <w:pPr>
      <w:pBdr/>
      <w:spacing/>
      <w:ind/>
    </w:pPr>
    <w:rPr>
      <w:rFonts w:ascii="Aptos" w:hAnsi="Aptos" w:eastAsia="DengXi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0" Type="http://schemas.openxmlformats.org/officeDocument/2006/relationships/footer" Target="footer6.xml" /><Relationship Id="rId21" Type="http://schemas.openxmlformats.org/officeDocument/2006/relationships/image" Target="media/image5.png"/><Relationship Id="rId22" Type="http://schemas.openxmlformats.org/officeDocument/2006/relationships/image" Target="media/media1.svg"/><Relationship Id="rId23" Type="http://schemas.openxmlformats.org/officeDocument/2006/relationships/image" Target="media/image6.png"/><Relationship Id="rId24" Type="http://schemas.openxmlformats.org/officeDocument/2006/relationships/image" Target="media/image7.png"/><Relationship Id="rId25" Type="http://schemas.openxmlformats.org/officeDocument/2006/relationships/image" Target="media/media2.svg"/><Relationship Id="rId26" Type="http://schemas.openxmlformats.org/officeDocument/2006/relationships/image" Target="media/image8.png"/><Relationship Id="rId27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/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UH CEE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revision>18</cp:revision>
  <dcterms:created xsi:type="dcterms:W3CDTF">2025-02-09T03:29:00Z</dcterms:created>
  <dcterms:modified xsi:type="dcterms:W3CDTF">2026-08-04T05:28:05Z</dcterms:modified>
  <cp:version>1048576</cp:version>
</cp:coreProperties>
</file>